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A4A63" w14:textId="741B089C" w:rsidR="00836540" w:rsidRPr="009E0E4E" w:rsidRDefault="00836540" w:rsidP="00836540">
      <w:pPr>
        <w:spacing w:after="0" w:line="240" w:lineRule="auto"/>
        <w:jc w:val="center"/>
        <w:rPr>
          <w:rFonts w:ascii="Times New Roman" w:hAnsi="Times New Roman" w:cs="Times New Roman"/>
          <w:b/>
          <w:bCs/>
          <w:sz w:val="24"/>
          <w:szCs w:val="24"/>
        </w:rPr>
      </w:pPr>
      <w:r w:rsidRPr="009E0E4E">
        <w:rPr>
          <w:rFonts w:ascii="Times New Roman" w:hAnsi="Times New Roman" w:cs="Times New Roman"/>
          <w:b/>
          <w:bCs/>
          <w:sz w:val="24"/>
          <w:szCs w:val="24"/>
        </w:rPr>
        <w:t>SOAH DOCKET NO. 473-22-04394</w:t>
      </w:r>
    </w:p>
    <w:p w14:paraId="7C531C2B" w14:textId="451E13D2" w:rsidR="00B90AB9" w:rsidRPr="009E0E4E" w:rsidRDefault="00836540" w:rsidP="00836540">
      <w:pPr>
        <w:spacing w:after="0" w:line="240" w:lineRule="auto"/>
        <w:jc w:val="center"/>
        <w:rPr>
          <w:rFonts w:ascii="Times New Roman" w:hAnsi="Times New Roman" w:cs="Times New Roman"/>
          <w:b/>
          <w:bCs/>
          <w:sz w:val="24"/>
          <w:szCs w:val="24"/>
        </w:rPr>
      </w:pPr>
      <w:r w:rsidRPr="009E0E4E">
        <w:rPr>
          <w:rFonts w:ascii="Times New Roman" w:hAnsi="Times New Roman" w:cs="Times New Roman"/>
          <w:b/>
          <w:bCs/>
          <w:sz w:val="24"/>
          <w:szCs w:val="24"/>
        </w:rPr>
        <w:t>PUC DOCKET NO. 53719</w:t>
      </w:r>
    </w:p>
    <w:p w14:paraId="4C65AFEE" w14:textId="557C1DCC" w:rsidR="00836540" w:rsidRPr="009E0E4E" w:rsidRDefault="00836540" w:rsidP="00836540">
      <w:pPr>
        <w:spacing w:after="0" w:line="240" w:lineRule="auto"/>
        <w:rPr>
          <w:rFonts w:ascii="Times New Roman" w:hAnsi="Times New Roman" w:cs="Times New Roman"/>
          <w:sz w:val="24"/>
          <w:szCs w:val="24"/>
        </w:rPr>
      </w:pPr>
      <w:r w:rsidRPr="009E0E4E">
        <w:rPr>
          <w:rFonts w:ascii="Times New Roman" w:hAnsi="Times New Roman" w:cs="Times New Roman"/>
          <w:sz w:val="24"/>
          <w:szCs w:val="24"/>
        </w:rPr>
        <w:t xml:space="preserve"> </w:t>
      </w:r>
    </w:p>
    <w:p w14:paraId="70263842" w14:textId="08136170" w:rsidR="00836540" w:rsidRPr="009E0E4E" w:rsidRDefault="00836540" w:rsidP="00836540">
      <w:pPr>
        <w:tabs>
          <w:tab w:val="left" w:pos="4680"/>
        </w:tabs>
        <w:spacing w:after="0"/>
        <w:rPr>
          <w:rFonts w:ascii="Times New Roman" w:hAnsi="Times New Roman" w:cs="Times New Roman"/>
          <w:b/>
          <w:bCs/>
          <w:sz w:val="24"/>
          <w:szCs w:val="24"/>
        </w:rPr>
      </w:pPr>
      <w:r w:rsidRPr="009E0E4E">
        <w:rPr>
          <w:rFonts w:ascii="Times New Roman" w:hAnsi="Times New Roman" w:cs="Times New Roman"/>
          <w:b/>
          <w:bCs/>
          <w:sz w:val="24"/>
          <w:szCs w:val="24"/>
        </w:rPr>
        <w:t>APPLICATION OF ENTERGY</w:t>
      </w:r>
      <w:r w:rsidRPr="009E0E4E">
        <w:rPr>
          <w:rFonts w:ascii="Times New Roman" w:hAnsi="Times New Roman" w:cs="Times New Roman"/>
          <w:b/>
          <w:bCs/>
          <w:sz w:val="24"/>
          <w:szCs w:val="24"/>
        </w:rPr>
        <w:tab/>
        <w:t xml:space="preserve">§ </w:t>
      </w:r>
      <w:r w:rsidRPr="009E0E4E">
        <w:rPr>
          <w:rFonts w:ascii="Times New Roman" w:hAnsi="Times New Roman" w:cs="Times New Roman"/>
          <w:b/>
          <w:bCs/>
          <w:sz w:val="24"/>
          <w:szCs w:val="24"/>
        </w:rPr>
        <w:tab/>
      </w:r>
      <w:r w:rsidRPr="009E0E4E">
        <w:rPr>
          <w:rFonts w:ascii="Times New Roman" w:hAnsi="Times New Roman" w:cs="Times New Roman"/>
          <w:b/>
          <w:bCs/>
          <w:sz w:val="24"/>
          <w:szCs w:val="24"/>
        </w:rPr>
        <w:tab/>
        <w:t xml:space="preserve"> BEFORE THE STATE OFFICE </w:t>
      </w:r>
    </w:p>
    <w:p w14:paraId="5E7C5959" w14:textId="263189B1" w:rsidR="00836540" w:rsidRPr="009E0E4E" w:rsidRDefault="00836540" w:rsidP="00836540">
      <w:pPr>
        <w:tabs>
          <w:tab w:val="left" w:pos="4680"/>
        </w:tabs>
        <w:spacing w:after="0"/>
        <w:rPr>
          <w:rFonts w:ascii="Times New Roman" w:hAnsi="Times New Roman" w:cs="Times New Roman"/>
          <w:b/>
          <w:bCs/>
          <w:sz w:val="24"/>
          <w:szCs w:val="24"/>
        </w:rPr>
      </w:pPr>
      <w:r w:rsidRPr="009E0E4E">
        <w:rPr>
          <w:rFonts w:ascii="Times New Roman" w:hAnsi="Times New Roman" w:cs="Times New Roman"/>
          <w:b/>
          <w:bCs/>
          <w:sz w:val="24"/>
          <w:szCs w:val="24"/>
        </w:rPr>
        <w:t xml:space="preserve">TEXAS, INC. FOR AUTHORITY </w:t>
      </w:r>
      <w:r w:rsidRPr="009E0E4E">
        <w:rPr>
          <w:rFonts w:ascii="Times New Roman" w:hAnsi="Times New Roman" w:cs="Times New Roman"/>
          <w:b/>
          <w:bCs/>
          <w:sz w:val="24"/>
          <w:szCs w:val="24"/>
        </w:rPr>
        <w:tab/>
        <w:t xml:space="preserve">§ </w:t>
      </w:r>
      <w:r w:rsidRPr="009E0E4E">
        <w:rPr>
          <w:rFonts w:ascii="Times New Roman" w:hAnsi="Times New Roman" w:cs="Times New Roman"/>
          <w:b/>
          <w:bCs/>
          <w:sz w:val="24"/>
          <w:szCs w:val="24"/>
        </w:rPr>
        <w:tab/>
      </w:r>
      <w:r w:rsidRPr="009E0E4E">
        <w:rPr>
          <w:rFonts w:ascii="Times New Roman" w:hAnsi="Times New Roman" w:cs="Times New Roman"/>
          <w:b/>
          <w:bCs/>
          <w:sz w:val="24"/>
          <w:szCs w:val="24"/>
        </w:rPr>
        <w:tab/>
      </w:r>
      <w:r w:rsidRPr="009E0E4E">
        <w:rPr>
          <w:rFonts w:ascii="Times New Roman" w:hAnsi="Times New Roman" w:cs="Times New Roman"/>
          <w:b/>
          <w:bCs/>
          <w:sz w:val="24"/>
          <w:szCs w:val="24"/>
        </w:rPr>
        <w:tab/>
      </w:r>
      <w:r w:rsidRPr="009E0E4E">
        <w:rPr>
          <w:rFonts w:ascii="Times New Roman" w:hAnsi="Times New Roman" w:cs="Times New Roman"/>
          <w:b/>
          <w:bCs/>
          <w:sz w:val="24"/>
          <w:szCs w:val="24"/>
        </w:rPr>
        <w:tab/>
        <w:t>OF</w:t>
      </w:r>
    </w:p>
    <w:p w14:paraId="65E13F18" w14:textId="1552D7E8" w:rsidR="00836540" w:rsidRPr="009E0E4E" w:rsidRDefault="00836540" w:rsidP="00836540">
      <w:pPr>
        <w:tabs>
          <w:tab w:val="left" w:pos="4680"/>
        </w:tabs>
        <w:spacing w:after="0"/>
        <w:rPr>
          <w:rFonts w:ascii="Times New Roman" w:hAnsi="Times New Roman" w:cs="Times New Roman"/>
          <w:b/>
          <w:bCs/>
          <w:sz w:val="24"/>
          <w:szCs w:val="24"/>
        </w:rPr>
      </w:pPr>
      <w:r w:rsidRPr="009E0E4E">
        <w:rPr>
          <w:rFonts w:ascii="Times New Roman" w:hAnsi="Times New Roman" w:cs="Times New Roman"/>
          <w:b/>
          <w:bCs/>
          <w:sz w:val="24"/>
          <w:szCs w:val="24"/>
        </w:rPr>
        <w:t xml:space="preserve">TO CHANGE RATES </w:t>
      </w:r>
      <w:r w:rsidRPr="009E0E4E">
        <w:rPr>
          <w:rFonts w:ascii="Times New Roman" w:hAnsi="Times New Roman" w:cs="Times New Roman"/>
          <w:b/>
          <w:bCs/>
          <w:sz w:val="24"/>
          <w:szCs w:val="24"/>
        </w:rPr>
        <w:tab/>
        <w:t xml:space="preserve">§ </w:t>
      </w:r>
      <w:r w:rsidRPr="009E0E4E">
        <w:rPr>
          <w:rFonts w:ascii="Times New Roman" w:hAnsi="Times New Roman" w:cs="Times New Roman"/>
          <w:b/>
          <w:bCs/>
          <w:sz w:val="24"/>
          <w:szCs w:val="24"/>
        </w:rPr>
        <w:tab/>
      </w:r>
      <w:r w:rsidRPr="009E0E4E">
        <w:rPr>
          <w:rFonts w:ascii="Times New Roman" w:hAnsi="Times New Roman" w:cs="Times New Roman"/>
          <w:b/>
          <w:bCs/>
          <w:sz w:val="24"/>
          <w:szCs w:val="24"/>
        </w:rPr>
        <w:tab/>
        <w:t>ADMINISTRATIVE HEARINGS</w:t>
      </w:r>
    </w:p>
    <w:p w14:paraId="3047A37B" w14:textId="47578451" w:rsidR="00836540" w:rsidRPr="009E0E4E" w:rsidRDefault="00836540" w:rsidP="00836540">
      <w:pPr>
        <w:spacing w:after="0"/>
        <w:rPr>
          <w:rFonts w:ascii="Times New Roman" w:hAnsi="Times New Roman" w:cs="Times New Roman"/>
          <w:b/>
          <w:bCs/>
          <w:sz w:val="24"/>
          <w:szCs w:val="24"/>
        </w:rPr>
      </w:pPr>
    </w:p>
    <w:p w14:paraId="512B45C1" w14:textId="3F79C662" w:rsidR="00E75B46" w:rsidRDefault="00E75B46" w:rsidP="00B37393">
      <w:pPr>
        <w:spacing w:after="0"/>
        <w:jc w:val="center"/>
        <w:rPr>
          <w:rFonts w:ascii="Times New Roman" w:hAnsi="Times New Roman" w:cs="Times New Roman"/>
          <w:b/>
          <w:bCs/>
          <w:sz w:val="24"/>
          <w:szCs w:val="24"/>
        </w:rPr>
      </w:pPr>
    </w:p>
    <w:p w14:paraId="3DBC7498" w14:textId="77777777" w:rsidR="00CF1C3E" w:rsidRPr="009E0E4E" w:rsidRDefault="00CF1C3E" w:rsidP="00B37393">
      <w:pPr>
        <w:spacing w:after="0"/>
        <w:jc w:val="center"/>
        <w:rPr>
          <w:rFonts w:ascii="Times New Roman" w:hAnsi="Times New Roman" w:cs="Times New Roman"/>
          <w:b/>
          <w:bCs/>
          <w:sz w:val="24"/>
          <w:szCs w:val="24"/>
        </w:rPr>
      </w:pPr>
    </w:p>
    <w:p w14:paraId="7D81C224" w14:textId="026754C2" w:rsidR="00B37393" w:rsidRPr="009E0E4E" w:rsidRDefault="00836540" w:rsidP="00B37393">
      <w:pPr>
        <w:spacing w:after="0"/>
        <w:jc w:val="center"/>
        <w:rPr>
          <w:rFonts w:ascii="Times New Roman" w:hAnsi="Times New Roman" w:cs="Times New Roman"/>
          <w:b/>
          <w:bCs/>
          <w:sz w:val="24"/>
          <w:szCs w:val="24"/>
        </w:rPr>
      </w:pPr>
      <w:r w:rsidRPr="009E0E4E">
        <w:rPr>
          <w:rFonts w:ascii="Times New Roman" w:hAnsi="Times New Roman" w:cs="Times New Roman"/>
          <w:b/>
          <w:bCs/>
          <w:sz w:val="24"/>
          <w:szCs w:val="24"/>
        </w:rPr>
        <w:t xml:space="preserve">SOUTHWESTERN PUBLIC SERVICE COMPANY'S </w:t>
      </w:r>
      <w:r w:rsidRPr="009E0E4E">
        <w:rPr>
          <w:rFonts w:ascii="Times New Roman" w:hAnsi="Times New Roman" w:cs="Times New Roman"/>
          <w:b/>
          <w:bCs/>
          <w:sz w:val="24"/>
          <w:szCs w:val="24"/>
        </w:rPr>
        <w:br/>
      </w:r>
      <w:r w:rsidR="006D2DF3" w:rsidRPr="009E0E4E">
        <w:rPr>
          <w:rFonts w:ascii="Times New Roman" w:hAnsi="Times New Roman" w:cs="Times New Roman"/>
          <w:b/>
          <w:bCs/>
          <w:sz w:val="24"/>
          <w:szCs w:val="24"/>
        </w:rPr>
        <w:t>RESPONSE</w:t>
      </w:r>
      <w:r w:rsidR="00B37393" w:rsidRPr="009E0E4E">
        <w:rPr>
          <w:rFonts w:ascii="Times New Roman" w:hAnsi="Times New Roman" w:cs="Times New Roman"/>
          <w:b/>
          <w:bCs/>
          <w:sz w:val="24"/>
          <w:szCs w:val="24"/>
        </w:rPr>
        <w:t xml:space="preserve"> BRIEF REGARDING  PRELIMINARY ORDER ISSUE NOS. 68 AND 69</w:t>
      </w:r>
    </w:p>
    <w:p w14:paraId="32A5D0D2" w14:textId="77777777" w:rsidR="002F4DF4" w:rsidRPr="009E0E4E" w:rsidRDefault="002F4DF4" w:rsidP="00B37393">
      <w:pPr>
        <w:spacing w:after="0"/>
        <w:jc w:val="center"/>
        <w:rPr>
          <w:rFonts w:ascii="Times New Roman" w:hAnsi="Times New Roman" w:cs="Times New Roman"/>
          <w:b/>
          <w:bCs/>
          <w:sz w:val="24"/>
          <w:szCs w:val="24"/>
        </w:rPr>
      </w:pPr>
    </w:p>
    <w:p w14:paraId="613A62DC" w14:textId="77777777" w:rsidR="00A34C02" w:rsidRPr="009E0E4E" w:rsidRDefault="00A34C02" w:rsidP="00A34C02">
      <w:pPr>
        <w:spacing w:after="0" w:line="480" w:lineRule="auto"/>
        <w:jc w:val="both"/>
        <w:rPr>
          <w:rFonts w:ascii="Times New Roman" w:hAnsi="Times New Roman" w:cs="Times New Roman"/>
          <w:sz w:val="24"/>
          <w:szCs w:val="24"/>
        </w:rPr>
      </w:pPr>
      <w:r w:rsidRPr="009E0E4E">
        <w:rPr>
          <w:rFonts w:ascii="Times New Roman" w:hAnsi="Times New Roman" w:cs="Times New Roman"/>
          <w:b/>
          <w:bCs/>
          <w:sz w:val="24"/>
          <w:szCs w:val="24"/>
        </w:rPr>
        <w:tab/>
      </w:r>
      <w:r w:rsidRPr="009E0E4E">
        <w:rPr>
          <w:rFonts w:ascii="Times New Roman" w:hAnsi="Times New Roman" w:cs="Times New Roman"/>
          <w:sz w:val="24"/>
          <w:szCs w:val="24"/>
        </w:rPr>
        <w:t>In accordance with Order No. 14, Intervenor Southwestern Public Service Company (“SPS”) files this Response Brief regarding Preliminary Order Issues Nos. 68 and 69, and would respectfully show as follows</w:t>
      </w:r>
      <w:r>
        <w:rPr>
          <w:rFonts w:ascii="Times New Roman" w:hAnsi="Times New Roman" w:cs="Times New Roman"/>
          <w:sz w:val="24"/>
          <w:szCs w:val="24"/>
        </w:rPr>
        <w:t>:</w:t>
      </w:r>
    </w:p>
    <w:p w14:paraId="17EF792D" w14:textId="06E091BD" w:rsidR="00A34C02" w:rsidRDefault="00A34C02" w:rsidP="00A34C02">
      <w:pPr>
        <w:spacing w:after="0" w:line="480" w:lineRule="auto"/>
        <w:ind w:firstLine="720"/>
        <w:jc w:val="both"/>
        <w:rPr>
          <w:rFonts w:ascii="Times New Roman" w:hAnsi="Times New Roman" w:cs="Times New Roman"/>
          <w:sz w:val="24"/>
          <w:szCs w:val="24"/>
        </w:rPr>
      </w:pPr>
      <w:r w:rsidRPr="009E0E4E">
        <w:rPr>
          <w:rFonts w:ascii="Times New Roman" w:hAnsi="Times New Roman" w:cs="Times New Roman"/>
          <w:sz w:val="24"/>
          <w:szCs w:val="24"/>
        </w:rPr>
        <w:t xml:space="preserve">Most respondents on Issues Nos. 68 and 69 agree that vertically-integrated utilities in Texas should be able to own, at least in some form, </w:t>
      </w:r>
      <w:r>
        <w:rPr>
          <w:rFonts w:ascii="Times New Roman" w:hAnsi="Times New Roman" w:cs="Times New Roman"/>
          <w:sz w:val="24"/>
          <w:szCs w:val="24"/>
        </w:rPr>
        <w:t xml:space="preserve">non-residential </w:t>
      </w:r>
      <w:r w:rsidRPr="009E0E4E">
        <w:rPr>
          <w:rFonts w:ascii="Times New Roman" w:hAnsi="Times New Roman" w:cs="Times New Roman"/>
          <w:sz w:val="24"/>
          <w:szCs w:val="24"/>
        </w:rPr>
        <w:t>electric vehicle (EV) charging infrastructure.</w:t>
      </w:r>
      <w:r>
        <w:rPr>
          <w:rStyle w:val="FootnoteReference"/>
          <w:rFonts w:ascii="Times New Roman" w:hAnsi="Times New Roman" w:cs="Times New Roman"/>
          <w:sz w:val="24"/>
          <w:szCs w:val="24"/>
        </w:rPr>
        <w:footnoteReference w:id="1"/>
      </w:r>
      <w:r w:rsidRPr="009E0E4E">
        <w:rPr>
          <w:rFonts w:ascii="Times New Roman" w:hAnsi="Times New Roman" w:cs="Times New Roman"/>
          <w:sz w:val="24"/>
          <w:szCs w:val="24"/>
        </w:rPr>
        <w:t xml:space="preserve"> The Office of Public Utility Counsel (OPUC) and Public Utility Commission of Texas (Commission) Staff, however, argue that there should be a blanket prohibition on such ownership</w:t>
      </w:r>
      <w:r>
        <w:rPr>
          <w:rFonts w:ascii="Times New Roman" w:hAnsi="Times New Roman" w:cs="Times New Roman"/>
          <w:sz w:val="24"/>
          <w:szCs w:val="24"/>
        </w:rPr>
        <w:t>.</w:t>
      </w:r>
      <w:r w:rsidRPr="009E0E4E">
        <w:rPr>
          <w:rFonts w:ascii="Times New Roman" w:hAnsi="Times New Roman" w:cs="Times New Roman"/>
          <w:sz w:val="24"/>
          <w:szCs w:val="24"/>
        </w:rPr>
        <w:t xml:space="preserve"> SPS respectfully disagrees. As recognized by many of the parties in this matter, including entities that compete in the EV charging market, permitting utility ownership of </w:t>
      </w:r>
      <w:r>
        <w:rPr>
          <w:rFonts w:ascii="Times New Roman" w:hAnsi="Times New Roman" w:cs="Times New Roman"/>
          <w:sz w:val="24"/>
          <w:szCs w:val="24"/>
        </w:rPr>
        <w:t xml:space="preserve">non-residential </w:t>
      </w:r>
      <w:r w:rsidRPr="009E0E4E">
        <w:rPr>
          <w:rFonts w:ascii="Times New Roman" w:hAnsi="Times New Roman" w:cs="Times New Roman"/>
          <w:sz w:val="24"/>
          <w:szCs w:val="24"/>
        </w:rPr>
        <w:t>EV charging infrastructure could play a critical role in ensuring that Texas citizens have access to EV charging in all areas of the state. To the extent OPUC and Commission Staff express concerns regarding the impact utility ownership may have on the competitive market</w:t>
      </w:r>
      <w:r>
        <w:rPr>
          <w:rFonts w:ascii="Times New Roman" w:hAnsi="Times New Roman" w:cs="Times New Roman"/>
          <w:sz w:val="24"/>
          <w:szCs w:val="24"/>
        </w:rPr>
        <w:t xml:space="preserve"> or</w:t>
      </w:r>
      <w:r w:rsidR="00CF1C3E">
        <w:rPr>
          <w:rFonts w:ascii="Times New Roman" w:hAnsi="Times New Roman" w:cs="Times New Roman"/>
          <w:sz w:val="24"/>
          <w:szCs w:val="24"/>
        </w:rPr>
        <w:t xml:space="preserve"> that it may</w:t>
      </w:r>
      <w:r>
        <w:rPr>
          <w:rFonts w:ascii="Times New Roman" w:hAnsi="Times New Roman" w:cs="Times New Roman"/>
          <w:sz w:val="24"/>
          <w:szCs w:val="24"/>
        </w:rPr>
        <w:t xml:space="preserve"> impose additional costs on non-participating customers</w:t>
      </w:r>
      <w:r w:rsidRPr="009E0E4E">
        <w:rPr>
          <w:rFonts w:ascii="Times New Roman" w:hAnsi="Times New Roman" w:cs="Times New Roman"/>
          <w:sz w:val="24"/>
          <w:szCs w:val="24"/>
        </w:rPr>
        <w:t>, such concerns can be adequately addressed through the Commission</w:t>
      </w:r>
      <w:r>
        <w:rPr>
          <w:rFonts w:ascii="Times New Roman" w:hAnsi="Times New Roman" w:cs="Times New Roman"/>
          <w:sz w:val="24"/>
          <w:szCs w:val="24"/>
        </w:rPr>
        <w:t>’s case-by-case evaluation of u</w:t>
      </w:r>
      <w:r w:rsidRPr="009E0E4E">
        <w:rPr>
          <w:rFonts w:ascii="Times New Roman" w:hAnsi="Times New Roman" w:cs="Times New Roman"/>
          <w:sz w:val="24"/>
          <w:szCs w:val="24"/>
        </w:rPr>
        <w:t>tility</w:t>
      </w:r>
      <w:r>
        <w:rPr>
          <w:rFonts w:ascii="Times New Roman" w:hAnsi="Times New Roman" w:cs="Times New Roman"/>
          <w:sz w:val="24"/>
          <w:szCs w:val="24"/>
        </w:rPr>
        <w:t xml:space="preserve"> ownership</w:t>
      </w:r>
      <w:r w:rsidRPr="009E0E4E">
        <w:rPr>
          <w:rFonts w:ascii="Times New Roman" w:hAnsi="Times New Roman" w:cs="Times New Roman"/>
          <w:sz w:val="24"/>
          <w:szCs w:val="24"/>
        </w:rPr>
        <w:t xml:space="preserve"> proposals.</w:t>
      </w:r>
    </w:p>
    <w:p w14:paraId="5908725C" w14:textId="77777777" w:rsidR="00A34C02" w:rsidRDefault="00A34C02" w:rsidP="00A34C02">
      <w:pPr>
        <w:rPr>
          <w:rFonts w:ascii="Times New Roman" w:hAnsi="Times New Roman" w:cs="Times New Roman"/>
          <w:sz w:val="24"/>
          <w:szCs w:val="24"/>
        </w:rPr>
      </w:pPr>
      <w:r>
        <w:rPr>
          <w:rFonts w:ascii="Times New Roman" w:hAnsi="Times New Roman" w:cs="Times New Roman"/>
          <w:sz w:val="24"/>
          <w:szCs w:val="24"/>
        </w:rPr>
        <w:br w:type="page"/>
      </w:r>
    </w:p>
    <w:p w14:paraId="34182A69" w14:textId="49550FFC" w:rsidR="00A34C02" w:rsidRPr="009E0E4E" w:rsidRDefault="00A34C02" w:rsidP="00A34C02">
      <w:pPr>
        <w:pStyle w:val="ListParagraph"/>
        <w:numPr>
          <w:ilvl w:val="0"/>
          <w:numId w:val="1"/>
        </w:numPr>
        <w:spacing w:after="0" w:line="240" w:lineRule="auto"/>
        <w:jc w:val="both"/>
        <w:rPr>
          <w:rFonts w:ascii="Times New Roman" w:hAnsi="Times New Roman" w:cs="Times New Roman"/>
          <w:b/>
          <w:bCs/>
          <w:sz w:val="24"/>
          <w:szCs w:val="24"/>
        </w:rPr>
      </w:pPr>
      <w:r w:rsidRPr="009E0E4E">
        <w:rPr>
          <w:rFonts w:ascii="Times New Roman" w:hAnsi="Times New Roman" w:cs="Times New Roman"/>
          <w:b/>
          <w:bCs/>
          <w:sz w:val="24"/>
          <w:szCs w:val="24"/>
        </w:rPr>
        <w:lastRenderedPageBreak/>
        <w:t>The objections to utility ownership presume a robust competitive market exists</w:t>
      </w:r>
      <w:r>
        <w:rPr>
          <w:rFonts w:ascii="Times New Roman" w:hAnsi="Times New Roman" w:cs="Times New Roman"/>
          <w:b/>
          <w:bCs/>
          <w:sz w:val="24"/>
          <w:szCs w:val="24"/>
        </w:rPr>
        <w:t xml:space="preserve"> for EV charging infrastructure</w:t>
      </w:r>
      <w:r w:rsidRPr="009E0E4E">
        <w:rPr>
          <w:rFonts w:ascii="Times New Roman" w:hAnsi="Times New Roman" w:cs="Times New Roman"/>
          <w:b/>
          <w:bCs/>
          <w:sz w:val="24"/>
          <w:szCs w:val="24"/>
        </w:rPr>
        <w:t xml:space="preserve">; however, that </w:t>
      </w:r>
      <w:r w:rsidR="007B2E30">
        <w:rPr>
          <w:rFonts w:ascii="Times New Roman" w:hAnsi="Times New Roman" w:cs="Times New Roman"/>
          <w:b/>
          <w:bCs/>
          <w:sz w:val="24"/>
          <w:szCs w:val="24"/>
        </w:rPr>
        <w:t>is</w:t>
      </w:r>
      <w:r w:rsidRPr="009E0E4E">
        <w:rPr>
          <w:rFonts w:ascii="Times New Roman" w:hAnsi="Times New Roman" w:cs="Times New Roman"/>
          <w:b/>
          <w:bCs/>
          <w:sz w:val="24"/>
          <w:szCs w:val="24"/>
        </w:rPr>
        <w:t xml:space="preserve"> not true in </w:t>
      </w:r>
      <w:r w:rsidR="007B2E30">
        <w:rPr>
          <w:rFonts w:ascii="Times New Roman" w:hAnsi="Times New Roman" w:cs="Times New Roman"/>
          <w:b/>
          <w:bCs/>
          <w:sz w:val="24"/>
          <w:szCs w:val="24"/>
        </w:rPr>
        <w:t>many</w:t>
      </w:r>
      <w:r w:rsidRPr="009E0E4E">
        <w:rPr>
          <w:rFonts w:ascii="Times New Roman" w:hAnsi="Times New Roman" w:cs="Times New Roman"/>
          <w:b/>
          <w:bCs/>
          <w:sz w:val="24"/>
          <w:szCs w:val="24"/>
        </w:rPr>
        <w:t xml:space="preserve"> areas of the state.</w:t>
      </w:r>
    </w:p>
    <w:p w14:paraId="1E1FC2B5" w14:textId="77777777" w:rsidR="00A34C02" w:rsidRPr="009E0E4E" w:rsidRDefault="00A34C02" w:rsidP="00A34C02">
      <w:pPr>
        <w:spacing w:after="0" w:line="240" w:lineRule="auto"/>
        <w:jc w:val="both"/>
        <w:rPr>
          <w:rFonts w:ascii="Times New Roman" w:hAnsi="Times New Roman" w:cs="Times New Roman"/>
          <w:b/>
          <w:bCs/>
          <w:sz w:val="24"/>
          <w:szCs w:val="24"/>
        </w:rPr>
      </w:pPr>
    </w:p>
    <w:p w14:paraId="437D54F3" w14:textId="77777777" w:rsidR="00A34C02" w:rsidRDefault="00A34C02" w:rsidP="00A34C02">
      <w:pPr>
        <w:spacing w:after="0" w:line="480" w:lineRule="auto"/>
        <w:ind w:firstLine="720"/>
        <w:jc w:val="both"/>
        <w:rPr>
          <w:rFonts w:ascii="Times New Roman" w:hAnsi="Times New Roman" w:cs="Times New Roman"/>
          <w:sz w:val="24"/>
          <w:szCs w:val="24"/>
        </w:rPr>
      </w:pPr>
      <w:r w:rsidRPr="009E0E4E">
        <w:rPr>
          <w:rFonts w:ascii="Times New Roman" w:hAnsi="Times New Roman" w:cs="Times New Roman"/>
          <w:sz w:val="24"/>
          <w:szCs w:val="24"/>
        </w:rPr>
        <w:t xml:space="preserve">A number of intervenors presume in their responses that a robust competitive market for EV charging facilities either currently exists, or </w:t>
      </w:r>
      <w:r>
        <w:rPr>
          <w:rFonts w:ascii="Times New Roman" w:hAnsi="Times New Roman" w:cs="Times New Roman"/>
          <w:sz w:val="24"/>
          <w:szCs w:val="24"/>
        </w:rPr>
        <w:t>will</w:t>
      </w:r>
      <w:r w:rsidRPr="009E0E4E">
        <w:rPr>
          <w:rFonts w:ascii="Times New Roman" w:hAnsi="Times New Roman" w:cs="Times New Roman"/>
          <w:sz w:val="24"/>
          <w:szCs w:val="24"/>
        </w:rPr>
        <w:t xml:space="preserve"> exist in the future, in all parts of Texas, and they assert that permitting utility ownership of charging facilities would create an unequal playing field and depress competition.</w:t>
      </w:r>
      <w:r w:rsidRPr="009E0E4E">
        <w:rPr>
          <w:rStyle w:val="FootnoteReference"/>
          <w:rFonts w:ascii="Times New Roman" w:hAnsi="Times New Roman" w:cs="Times New Roman"/>
          <w:sz w:val="24"/>
          <w:szCs w:val="24"/>
        </w:rPr>
        <w:footnoteReference w:id="2"/>
      </w:r>
      <w:r w:rsidRPr="009E0E4E">
        <w:rPr>
          <w:rFonts w:ascii="Times New Roman" w:hAnsi="Times New Roman" w:cs="Times New Roman"/>
          <w:sz w:val="24"/>
          <w:szCs w:val="24"/>
        </w:rPr>
        <w:t xml:space="preserve"> There are a number of unsupported presumptions underlying this argument</w:t>
      </w:r>
      <w:r>
        <w:rPr>
          <w:rFonts w:ascii="Times New Roman" w:hAnsi="Times New Roman" w:cs="Times New Roman"/>
          <w:sz w:val="24"/>
          <w:szCs w:val="24"/>
        </w:rPr>
        <w:t>, however,</w:t>
      </w:r>
      <w:r w:rsidRPr="009E0E4E">
        <w:rPr>
          <w:rFonts w:ascii="Times New Roman" w:hAnsi="Times New Roman" w:cs="Times New Roman"/>
          <w:sz w:val="24"/>
          <w:szCs w:val="24"/>
        </w:rPr>
        <w:t xml:space="preserve"> and it should be rejected. </w:t>
      </w:r>
    </w:p>
    <w:p w14:paraId="3A30B4C9" w14:textId="77777777" w:rsidR="00A34C02" w:rsidRPr="009E0E4E" w:rsidRDefault="00A34C02" w:rsidP="00A34C02">
      <w:pPr>
        <w:spacing w:after="0" w:line="480" w:lineRule="auto"/>
        <w:ind w:firstLine="720"/>
        <w:jc w:val="both"/>
        <w:rPr>
          <w:rFonts w:ascii="Times New Roman" w:hAnsi="Times New Roman" w:cs="Times New Roman"/>
          <w:sz w:val="24"/>
          <w:szCs w:val="24"/>
        </w:rPr>
      </w:pPr>
      <w:r w:rsidRPr="009E0E4E">
        <w:rPr>
          <w:rFonts w:ascii="Times New Roman" w:hAnsi="Times New Roman" w:cs="Times New Roman"/>
          <w:sz w:val="24"/>
          <w:szCs w:val="24"/>
        </w:rPr>
        <w:t xml:space="preserve">First, this argument presumes that there </w:t>
      </w:r>
      <w:r>
        <w:rPr>
          <w:rFonts w:ascii="Times New Roman" w:hAnsi="Times New Roman" w:cs="Times New Roman"/>
          <w:sz w:val="24"/>
          <w:szCs w:val="24"/>
        </w:rPr>
        <w:t xml:space="preserve">is, or </w:t>
      </w:r>
      <w:r w:rsidRPr="009E0E4E">
        <w:rPr>
          <w:rFonts w:ascii="Times New Roman" w:hAnsi="Times New Roman" w:cs="Times New Roman"/>
          <w:sz w:val="24"/>
          <w:szCs w:val="24"/>
        </w:rPr>
        <w:t>will be</w:t>
      </w:r>
      <w:r>
        <w:rPr>
          <w:rFonts w:ascii="Times New Roman" w:hAnsi="Times New Roman" w:cs="Times New Roman"/>
          <w:sz w:val="24"/>
          <w:szCs w:val="24"/>
        </w:rPr>
        <w:t>,</w:t>
      </w:r>
      <w:r w:rsidRPr="009E0E4E">
        <w:rPr>
          <w:rFonts w:ascii="Times New Roman" w:hAnsi="Times New Roman" w:cs="Times New Roman"/>
          <w:sz w:val="24"/>
          <w:szCs w:val="24"/>
        </w:rPr>
        <w:t xml:space="preserve"> a competitive market for the installation of EV charging facilities in </w:t>
      </w:r>
      <w:r w:rsidRPr="00A04FDF">
        <w:rPr>
          <w:rFonts w:ascii="Times New Roman" w:hAnsi="Times New Roman" w:cs="Times New Roman"/>
          <w:i/>
          <w:iCs/>
          <w:sz w:val="24"/>
          <w:szCs w:val="24"/>
        </w:rPr>
        <w:t>all</w:t>
      </w:r>
      <w:r w:rsidRPr="009E0E4E">
        <w:rPr>
          <w:rFonts w:ascii="Times New Roman" w:hAnsi="Times New Roman" w:cs="Times New Roman"/>
          <w:sz w:val="24"/>
          <w:szCs w:val="24"/>
        </w:rPr>
        <w:t xml:space="preserve"> areas of the state. However, and as SPS detailed in its initial brief</w:t>
      </w:r>
      <w:r>
        <w:rPr>
          <w:rFonts w:ascii="Times New Roman" w:hAnsi="Times New Roman" w:cs="Times New Roman"/>
          <w:sz w:val="24"/>
          <w:szCs w:val="24"/>
        </w:rPr>
        <w:t xml:space="preserve"> and supported with evidence in the record</w:t>
      </w:r>
      <w:r w:rsidRPr="009E0E4E">
        <w:rPr>
          <w:rFonts w:ascii="Times New Roman" w:hAnsi="Times New Roman" w:cs="Times New Roman"/>
          <w:sz w:val="24"/>
          <w:szCs w:val="24"/>
        </w:rPr>
        <w:t>, the EV charging market that has developed to date has not shown robust development in more rural areas of the state, particularly with respect to the installation of fast-charging facilities.</w:t>
      </w:r>
      <w:r w:rsidRPr="009E0E4E">
        <w:rPr>
          <w:rStyle w:val="FootnoteReference"/>
          <w:rFonts w:ascii="Times New Roman" w:hAnsi="Times New Roman" w:cs="Times New Roman"/>
          <w:sz w:val="24"/>
          <w:szCs w:val="24"/>
        </w:rPr>
        <w:footnoteReference w:id="3"/>
      </w:r>
      <w:r w:rsidRPr="009E0E4E">
        <w:rPr>
          <w:rFonts w:ascii="Times New Roman" w:hAnsi="Times New Roman" w:cs="Times New Roman"/>
          <w:sz w:val="24"/>
          <w:szCs w:val="24"/>
        </w:rPr>
        <w:t xml:space="preserve"> </w:t>
      </w:r>
      <w:r>
        <w:rPr>
          <w:rFonts w:ascii="Times New Roman" w:hAnsi="Times New Roman" w:cs="Times New Roman"/>
          <w:sz w:val="24"/>
          <w:szCs w:val="24"/>
        </w:rPr>
        <w:t>To the extent Commission Staff and other intervenors appear to suggest that competitive markets will develop in the future in these more remote or rural areas in response to newer incentive programs, any such suggestion is entirely speculative as there is nothing in the record of this matter that supports this assertion.</w:t>
      </w:r>
      <w:r>
        <w:rPr>
          <w:rStyle w:val="FootnoteReference"/>
          <w:rFonts w:ascii="Times New Roman" w:hAnsi="Times New Roman" w:cs="Times New Roman"/>
          <w:sz w:val="24"/>
          <w:szCs w:val="24"/>
        </w:rPr>
        <w:footnoteReference w:id="4"/>
      </w:r>
      <w:r>
        <w:rPr>
          <w:rFonts w:ascii="Times New Roman" w:hAnsi="Times New Roman" w:cs="Times New Roman"/>
          <w:sz w:val="24"/>
          <w:szCs w:val="24"/>
        </w:rPr>
        <w:t xml:space="preserve"> Moreover, EVs have existed for many, many years, such that there is already sufficient information from which the Commission could reasonably conclude that a robust competitive market for EV charging has failed to develop in all areas of the state relying solely upon competitive market forces.</w:t>
      </w:r>
      <w:r>
        <w:rPr>
          <w:rStyle w:val="FootnoteReference"/>
          <w:rFonts w:ascii="Times New Roman" w:hAnsi="Times New Roman" w:cs="Times New Roman"/>
          <w:sz w:val="24"/>
          <w:szCs w:val="24"/>
        </w:rPr>
        <w:footnoteReference w:id="5"/>
      </w:r>
      <w:r>
        <w:rPr>
          <w:rFonts w:ascii="Times New Roman" w:hAnsi="Times New Roman" w:cs="Times New Roman"/>
          <w:sz w:val="24"/>
          <w:szCs w:val="24"/>
        </w:rPr>
        <w:t xml:space="preserve"> Accordingly, vertically-integrated </w:t>
      </w:r>
      <w:r w:rsidRPr="009E0E4E">
        <w:rPr>
          <w:rFonts w:ascii="Times New Roman" w:hAnsi="Times New Roman" w:cs="Times New Roman"/>
          <w:sz w:val="24"/>
          <w:szCs w:val="24"/>
        </w:rPr>
        <w:t xml:space="preserve">utilities should be </w:t>
      </w:r>
      <w:r>
        <w:rPr>
          <w:rFonts w:ascii="Times New Roman" w:hAnsi="Times New Roman" w:cs="Times New Roman"/>
          <w:sz w:val="24"/>
          <w:szCs w:val="24"/>
        </w:rPr>
        <w:t>allowed</w:t>
      </w:r>
      <w:r w:rsidRPr="009E0E4E">
        <w:rPr>
          <w:rFonts w:ascii="Times New Roman" w:hAnsi="Times New Roman" w:cs="Times New Roman"/>
          <w:sz w:val="24"/>
          <w:szCs w:val="24"/>
        </w:rPr>
        <w:t xml:space="preserve"> to play a critical role in ensuring that needed facilities are </w:t>
      </w:r>
      <w:r w:rsidRPr="009E0E4E">
        <w:rPr>
          <w:rFonts w:ascii="Times New Roman" w:hAnsi="Times New Roman" w:cs="Times New Roman"/>
          <w:sz w:val="24"/>
          <w:szCs w:val="24"/>
        </w:rPr>
        <w:lastRenderedPageBreak/>
        <w:t>installed in all areas of the state</w:t>
      </w:r>
      <w:r>
        <w:rPr>
          <w:rFonts w:ascii="Times New Roman" w:hAnsi="Times New Roman" w:cs="Times New Roman"/>
          <w:sz w:val="24"/>
          <w:szCs w:val="24"/>
        </w:rPr>
        <w:t xml:space="preserve"> by offering services that foster or accelerate the build out of EV charging, particularly in underserved areas</w:t>
      </w:r>
      <w:r w:rsidRPr="009E0E4E">
        <w:rPr>
          <w:rFonts w:ascii="Times New Roman" w:hAnsi="Times New Roman" w:cs="Times New Roman"/>
          <w:sz w:val="24"/>
          <w:szCs w:val="24"/>
        </w:rPr>
        <w:t xml:space="preserve">.  </w:t>
      </w:r>
    </w:p>
    <w:p w14:paraId="799459EF" w14:textId="77777777" w:rsidR="00A34C02" w:rsidRDefault="00A34C02" w:rsidP="00A34C02">
      <w:pPr>
        <w:spacing w:after="0" w:line="480" w:lineRule="auto"/>
        <w:ind w:firstLine="720"/>
        <w:jc w:val="both"/>
        <w:rPr>
          <w:rFonts w:ascii="Times New Roman" w:hAnsi="Times New Roman" w:cs="Times New Roman"/>
          <w:sz w:val="24"/>
          <w:szCs w:val="24"/>
        </w:rPr>
      </w:pPr>
      <w:r w:rsidRPr="009E0E4E">
        <w:rPr>
          <w:rFonts w:ascii="Times New Roman" w:hAnsi="Times New Roman" w:cs="Times New Roman"/>
          <w:sz w:val="24"/>
          <w:szCs w:val="24"/>
        </w:rPr>
        <w:t>Second, the parties</w:t>
      </w:r>
      <w:r>
        <w:rPr>
          <w:rFonts w:ascii="Times New Roman" w:hAnsi="Times New Roman" w:cs="Times New Roman"/>
          <w:sz w:val="24"/>
          <w:szCs w:val="24"/>
        </w:rPr>
        <w:t xml:space="preserve"> seeking to limit utility ownership</w:t>
      </w:r>
      <w:r w:rsidRPr="009E0E4E">
        <w:rPr>
          <w:rFonts w:ascii="Times New Roman" w:hAnsi="Times New Roman" w:cs="Times New Roman"/>
          <w:sz w:val="24"/>
          <w:szCs w:val="24"/>
        </w:rPr>
        <w:t xml:space="preserve"> fail to account for the fact that the Commission has oversight and approval authority over any proposals made by a vertically-integrated utility related to EV charging infrastructure. The Commission will be able to evaluate</w:t>
      </w:r>
      <w:r>
        <w:rPr>
          <w:rFonts w:ascii="Times New Roman" w:hAnsi="Times New Roman" w:cs="Times New Roman"/>
          <w:sz w:val="24"/>
          <w:szCs w:val="24"/>
        </w:rPr>
        <w:t>,</w:t>
      </w:r>
      <w:r w:rsidRPr="009E0E4E">
        <w:rPr>
          <w:rFonts w:ascii="Times New Roman" w:hAnsi="Times New Roman" w:cs="Times New Roman"/>
          <w:sz w:val="24"/>
          <w:szCs w:val="24"/>
        </w:rPr>
        <w:t xml:space="preserve"> based on the specific facts presented with each proposal</w:t>
      </w:r>
      <w:r>
        <w:rPr>
          <w:rFonts w:ascii="Times New Roman" w:hAnsi="Times New Roman" w:cs="Times New Roman"/>
          <w:sz w:val="24"/>
          <w:szCs w:val="24"/>
        </w:rPr>
        <w:t>,</w:t>
      </w:r>
      <w:r w:rsidRPr="009E0E4E">
        <w:rPr>
          <w:rFonts w:ascii="Times New Roman" w:hAnsi="Times New Roman" w:cs="Times New Roman"/>
          <w:sz w:val="24"/>
          <w:szCs w:val="24"/>
        </w:rPr>
        <w:t xml:space="preserve"> whether or not the</w:t>
      </w:r>
      <w:r>
        <w:rPr>
          <w:rFonts w:ascii="Times New Roman" w:hAnsi="Times New Roman" w:cs="Times New Roman"/>
          <w:sz w:val="24"/>
          <w:szCs w:val="24"/>
        </w:rPr>
        <w:t xml:space="preserve"> utility’s</w:t>
      </w:r>
      <w:r w:rsidRPr="009E0E4E">
        <w:rPr>
          <w:rFonts w:ascii="Times New Roman" w:hAnsi="Times New Roman" w:cs="Times New Roman"/>
          <w:sz w:val="24"/>
          <w:szCs w:val="24"/>
        </w:rPr>
        <w:t xml:space="preserve"> proposal is </w:t>
      </w:r>
      <w:r>
        <w:rPr>
          <w:rFonts w:ascii="Times New Roman" w:hAnsi="Times New Roman" w:cs="Times New Roman"/>
          <w:sz w:val="24"/>
          <w:szCs w:val="24"/>
        </w:rPr>
        <w:t>reasonable and justified</w:t>
      </w:r>
      <w:r w:rsidRPr="009E0E4E">
        <w:rPr>
          <w:rFonts w:ascii="Times New Roman" w:hAnsi="Times New Roman" w:cs="Times New Roman"/>
          <w:sz w:val="24"/>
          <w:szCs w:val="24"/>
        </w:rPr>
        <w:t xml:space="preserve"> in light of whatever competitive market may or may not exist related to the service at issue.</w:t>
      </w:r>
      <w:r w:rsidRPr="009E0E4E">
        <w:rPr>
          <w:rStyle w:val="FootnoteReference"/>
          <w:rFonts w:ascii="Times New Roman" w:hAnsi="Times New Roman" w:cs="Times New Roman"/>
          <w:sz w:val="24"/>
          <w:szCs w:val="24"/>
        </w:rPr>
        <w:footnoteReference w:id="6"/>
      </w:r>
      <w:r w:rsidRPr="009E0E4E">
        <w:rPr>
          <w:rFonts w:ascii="Times New Roman" w:hAnsi="Times New Roman" w:cs="Times New Roman"/>
          <w:sz w:val="24"/>
          <w:szCs w:val="24"/>
        </w:rPr>
        <w:t xml:space="preserve"> As such, it would not be proper to impose a blanket prohibition on </w:t>
      </w:r>
      <w:r>
        <w:rPr>
          <w:rFonts w:ascii="Times New Roman" w:hAnsi="Times New Roman" w:cs="Times New Roman"/>
          <w:sz w:val="24"/>
          <w:szCs w:val="24"/>
        </w:rPr>
        <w:t>utility ownership</w:t>
      </w:r>
      <w:r w:rsidRPr="009E0E4E">
        <w:rPr>
          <w:rFonts w:ascii="Times New Roman" w:hAnsi="Times New Roman" w:cs="Times New Roman"/>
          <w:sz w:val="24"/>
          <w:szCs w:val="24"/>
        </w:rPr>
        <w:t xml:space="preserve"> proposals. This is particularly true when </w:t>
      </w:r>
      <w:r>
        <w:rPr>
          <w:rFonts w:ascii="Times New Roman" w:hAnsi="Times New Roman" w:cs="Times New Roman"/>
          <w:sz w:val="24"/>
          <w:szCs w:val="24"/>
        </w:rPr>
        <w:t>there has been nothing</w:t>
      </w:r>
      <w:r w:rsidRPr="009E0E4E">
        <w:rPr>
          <w:rFonts w:ascii="Times New Roman" w:hAnsi="Times New Roman" w:cs="Times New Roman"/>
          <w:sz w:val="24"/>
          <w:szCs w:val="24"/>
        </w:rPr>
        <w:t xml:space="preserve"> </w:t>
      </w:r>
      <w:r>
        <w:rPr>
          <w:rFonts w:ascii="Times New Roman" w:hAnsi="Times New Roman" w:cs="Times New Roman"/>
          <w:sz w:val="24"/>
          <w:szCs w:val="24"/>
        </w:rPr>
        <w:t>offered into</w:t>
      </w:r>
      <w:r w:rsidRPr="009E0E4E">
        <w:rPr>
          <w:rFonts w:ascii="Times New Roman" w:hAnsi="Times New Roman" w:cs="Times New Roman"/>
          <w:sz w:val="24"/>
          <w:szCs w:val="24"/>
        </w:rPr>
        <w:t xml:space="preserve"> the record in this matter</w:t>
      </w:r>
      <w:r>
        <w:rPr>
          <w:rFonts w:ascii="Times New Roman" w:hAnsi="Times New Roman" w:cs="Times New Roman"/>
          <w:sz w:val="24"/>
          <w:szCs w:val="24"/>
        </w:rPr>
        <w:t>, other than speculation, that would</w:t>
      </w:r>
      <w:r w:rsidRPr="009E0E4E">
        <w:rPr>
          <w:rFonts w:ascii="Times New Roman" w:hAnsi="Times New Roman" w:cs="Times New Roman"/>
          <w:sz w:val="24"/>
          <w:szCs w:val="24"/>
        </w:rPr>
        <w:t xml:space="preserve"> support a finding that utility ownership will improperly depress or distort a</w:t>
      </w:r>
      <w:r>
        <w:rPr>
          <w:rFonts w:ascii="Times New Roman" w:hAnsi="Times New Roman" w:cs="Times New Roman"/>
          <w:sz w:val="24"/>
          <w:szCs w:val="24"/>
        </w:rPr>
        <w:t>ny</w:t>
      </w:r>
      <w:r w:rsidRPr="009E0E4E">
        <w:rPr>
          <w:rFonts w:ascii="Times New Roman" w:hAnsi="Times New Roman" w:cs="Times New Roman"/>
          <w:sz w:val="24"/>
          <w:szCs w:val="24"/>
        </w:rPr>
        <w:t xml:space="preserve"> competitive market </w:t>
      </w:r>
      <w:r>
        <w:rPr>
          <w:rFonts w:ascii="Times New Roman" w:hAnsi="Times New Roman" w:cs="Times New Roman"/>
          <w:sz w:val="24"/>
          <w:szCs w:val="24"/>
        </w:rPr>
        <w:t xml:space="preserve">that may or may not exist related to </w:t>
      </w:r>
      <w:r w:rsidRPr="009E0E4E">
        <w:rPr>
          <w:rFonts w:ascii="Times New Roman" w:hAnsi="Times New Roman" w:cs="Times New Roman"/>
          <w:sz w:val="24"/>
          <w:szCs w:val="24"/>
        </w:rPr>
        <w:t xml:space="preserve">EV charging infrastructure. </w:t>
      </w:r>
    </w:p>
    <w:p w14:paraId="4B4B1AA3" w14:textId="610CCEDE" w:rsidR="00A34C02" w:rsidRPr="009E0E4E" w:rsidRDefault="00A34C02" w:rsidP="00A34C02">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Third, the objecting parties’ presumption that vertically-integrated utilities will have a clear competitive advantage is also based on speculation. While the regulatory compact is intended to ensure that utilities have a reasonable </w:t>
      </w:r>
      <w:r w:rsidRPr="00121870">
        <w:rPr>
          <w:rFonts w:ascii="Times New Roman" w:hAnsi="Times New Roman" w:cs="Times New Roman"/>
          <w:i/>
          <w:iCs/>
          <w:sz w:val="24"/>
          <w:szCs w:val="24"/>
        </w:rPr>
        <w:t>opportunity</w:t>
      </w:r>
      <w:r>
        <w:rPr>
          <w:rFonts w:ascii="Times New Roman" w:hAnsi="Times New Roman" w:cs="Times New Roman"/>
          <w:sz w:val="24"/>
          <w:szCs w:val="24"/>
        </w:rPr>
        <w:t xml:space="preserve"> to earn a fair rate of return on invested capital; such a return is by no means guaranteed.</w:t>
      </w:r>
      <w:r>
        <w:rPr>
          <w:rStyle w:val="FootnoteReference"/>
          <w:rFonts w:ascii="Times New Roman" w:hAnsi="Times New Roman" w:cs="Times New Roman"/>
          <w:sz w:val="24"/>
          <w:szCs w:val="24"/>
        </w:rPr>
        <w:footnoteReference w:id="7"/>
      </w:r>
      <w:r>
        <w:rPr>
          <w:rFonts w:ascii="Times New Roman" w:hAnsi="Times New Roman" w:cs="Times New Roman"/>
          <w:sz w:val="24"/>
          <w:szCs w:val="24"/>
        </w:rPr>
        <w:t xml:space="preserve"> Further, with respect to EV charging, utilities will still be required to compete in the open market with respect to matters such as equipment p</w:t>
      </w:r>
      <w:r w:rsidRPr="00E4772B">
        <w:rPr>
          <w:rFonts w:ascii="Times New Roman" w:hAnsi="Times New Roman" w:cs="Times New Roman"/>
          <w:sz w:val="24"/>
          <w:szCs w:val="24"/>
        </w:rPr>
        <w:t>ric</w:t>
      </w:r>
      <w:r>
        <w:rPr>
          <w:rFonts w:ascii="Times New Roman" w:hAnsi="Times New Roman" w:cs="Times New Roman"/>
          <w:sz w:val="24"/>
          <w:szCs w:val="24"/>
        </w:rPr>
        <w:t xml:space="preserve">ing and the siting of facilities. </w:t>
      </w:r>
      <w:r w:rsidR="007B2E30">
        <w:rPr>
          <w:rFonts w:ascii="Times New Roman" w:hAnsi="Times New Roman" w:cs="Times New Roman"/>
          <w:sz w:val="24"/>
          <w:szCs w:val="24"/>
        </w:rPr>
        <w:t>F</w:t>
      </w:r>
      <w:r w:rsidR="00A60FA9">
        <w:rPr>
          <w:rFonts w:ascii="Times New Roman" w:hAnsi="Times New Roman" w:cs="Times New Roman"/>
          <w:sz w:val="24"/>
          <w:szCs w:val="24"/>
        </w:rPr>
        <w:t>i</w:t>
      </w:r>
      <w:r w:rsidR="007B2E30">
        <w:rPr>
          <w:rFonts w:ascii="Times New Roman" w:hAnsi="Times New Roman" w:cs="Times New Roman"/>
          <w:sz w:val="24"/>
          <w:szCs w:val="24"/>
        </w:rPr>
        <w:t>nal</w:t>
      </w:r>
      <w:r w:rsidR="00A60FA9">
        <w:rPr>
          <w:rFonts w:ascii="Times New Roman" w:hAnsi="Times New Roman" w:cs="Times New Roman"/>
          <w:sz w:val="24"/>
          <w:szCs w:val="24"/>
        </w:rPr>
        <w:t>ly, unlike competitive entities, vertically-integrated utilities are regulated in their rates, and are therefore constrained in ways a purely competitive entity is not.</w:t>
      </w:r>
    </w:p>
    <w:p w14:paraId="1B49BFF3" w14:textId="77777777" w:rsidR="00A34C02" w:rsidRPr="009E0E4E" w:rsidRDefault="00A34C02" w:rsidP="00A34C02">
      <w:pPr>
        <w:spacing w:after="0" w:line="480" w:lineRule="auto"/>
        <w:ind w:firstLine="720"/>
        <w:jc w:val="both"/>
        <w:rPr>
          <w:rFonts w:ascii="Times New Roman" w:hAnsi="Times New Roman" w:cs="Times New Roman"/>
          <w:sz w:val="24"/>
          <w:szCs w:val="24"/>
        </w:rPr>
      </w:pPr>
      <w:r w:rsidRPr="009E0E4E">
        <w:rPr>
          <w:rFonts w:ascii="Times New Roman" w:hAnsi="Times New Roman" w:cs="Times New Roman"/>
          <w:sz w:val="24"/>
          <w:szCs w:val="24"/>
        </w:rPr>
        <w:lastRenderedPageBreak/>
        <w:t>Finally,</w:t>
      </w:r>
      <w:r>
        <w:rPr>
          <w:rFonts w:ascii="Times New Roman" w:hAnsi="Times New Roman" w:cs="Times New Roman"/>
          <w:sz w:val="24"/>
          <w:szCs w:val="24"/>
        </w:rPr>
        <w:t xml:space="preserve"> and regardless of whether a competitive market does exist,</w:t>
      </w:r>
      <w:r w:rsidRPr="009E0E4E">
        <w:rPr>
          <w:rFonts w:ascii="Times New Roman" w:hAnsi="Times New Roman" w:cs="Times New Roman"/>
          <w:sz w:val="24"/>
          <w:szCs w:val="24"/>
        </w:rPr>
        <w:t xml:space="preserve"> a vertically-integrated utility may be uniquely positioned to offer</w:t>
      </w:r>
      <w:r>
        <w:rPr>
          <w:rFonts w:ascii="Times New Roman" w:hAnsi="Times New Roman" w:cs="Times New Roman"/>
          <w:sz w:val="24"/>
          <w:szCs w:val="24"/>
        </w:rPr>
        <w:t xml:space="preserve"> services related to</w:t>
      </w:r>
      <w:r w:rsidRPr="009E0E4E">
        <w:rPr>
          <w:rFonts w:ascii="Times New Roman" w:hAnsi="Times New Roman" w:cs="Times New Roman"/>
          <w:sz w:val="24"/>
          <w:szCs w:val="24"/>
        </w:rPr>
        <w:t xml:space="preserve"> EV charging to its customers in a manner that serves the needs of its customers and the public interest</w:t>
      </w:r>
      <w:r>
        <w:rPr>
          <w:rFonts w:ascii="Times New Roman" w:hAnsi="Times New Roman" w:cs="Times New Roman"/>
          <w:sz w:val="24"/>
          <w:szCs w:val="24"/>
        </w:rPr>
        <w:t>; this</w:t>
      </w:r>
      <w:r w:rsidRPr="009E0E4E">
        <w:rPr>
          <w:rFonts w:ascii="Times New Roman" w:hAnsi="Times New Roman" w:cs="Times New Roman"/>
          <w:sz w:val="24"/>
          <w:szCs w:val="24"/>
        </w:rPr>
        <w:t xml:space="preserve"> includ</w:t>
      </w:r>
      <w:r>
        <w:rPr>
          <w:rFonts w:ascii="Times New Roman" w:hAnsi="Times New Roman" w:cs="Times New Roman"/>
          <w:sz w:val="24"/>
          <w:szCs w:val="24"/>
        </w:rPr>
        <w:t>es</w:t>
      </w:r>
      <w:r w:rsidRPr="009E0E4E">
        <w:rPr>
          <w:rFonts w:ascii="Times New Roman" w:hAnsi="Times New Roman" w:cs="Times New Roman"/>
          <w:sz w:val="24"/>
          <w:szCs w:val="24"/>
        </w:rPr>
        <w:t xml:space="preserve"> serving Texas’s stated policy goal of increasing </w:t>
      </w:r>
      <w:r>
        <w:rPr>
          <w:rFonts w:ascii="Times New Roman" w:hAnsi="Times New Roman" w:cs="Times New Roman"/>
          <w:sz w:val="24"/>
          <w:szCs w:val="24"/>
        </w:rPr>
        <w:t xml:space="preserve">and accelerating </w:t>
      </w:r>
      <w:r w:rsidRPr="009E0E4E">
        <w:rPr>
          <w:rFonts w:ascii="Times New Roman" w:hAnsi="Times New Roman" w:cs="Times New Roman"/>
          <w:sz w:val="24"/>
          <w:szCs w:val="24"/>
        </w:rPr>
        <w:t xml:space="preserve">access to EV charging.  For example, and as SPS explained in its initial brief, </w:t>
      </w:r>
      <w:r>
        <w:rPr>
          <w:rFonts w:ascii="Times New Roman" w:hAnsi="Times New Roman" w:cs="Times New Roman"/>
          <w:sz w:val="24"/>
          <w:szCs w:val="24"/>
        </w:rPr>
        <w:t xml:space="preserve">vertically-integrated </w:t>
      </w:r>
      <w:r w:rsidRPr="009E0E4E">
        <w:rPr>
          <w:rFonts w:ascii="Times New Roman" w:hAnsi="Times New Roman" w:cs="Times New Roman"/>
          <w:sz w:val="24"/>
          <w:szCs w:val="24"/>
        </w:rPr>
        <w:t xml:space="preserve">utilities </w:t>
      </w:r>
      <w:r>
        <w:rPr>
          <w:rFonts w:ascii="Times New Roman" w:hAnsi="Times New Roman" w:cs="Times New Roman"/>
          <w:sz w:val="24"/>
          <w:szCs w:val="24"/>
        </w:rPr>
        <w:t>in Texas are specially situated to</w:t>
      </w:r>
      <w:r w:rsidRPr="009E0E4E">
        <w:rPr>
          <w:rFonts w:ascii="Times New Roman" w:hAnsi="Times New Roman" w:cs="Times New Roman"/>
          <w:sz w:val="24"/>
          <w:szCs w:val="24"/>
        </w:rPr>
        <w:t xml:space="preserve"> offer programs to assist </w:t>
      </w:r>
      <w:r>
        <w:rPr>
          <w:rFonts w:ascii="Times New Roman" w:hAnsi="Times New Roman" w:cs="Times New Roman"/>
          <w:sz w:val="24"/>
          <w:szCs w:val="24"/>
        </w:rPr>
        <w:t xml:space="preserve">their </w:t>
      </w:r>
      <w:r w:rsidRPr="009E0E4E">
        <w:rPr>
          <w:rFonts w:ascii="Times New Roman" w:hAnsi="Times New Roman" w:cs="Times New Roman"/>
          <w:sz w:val="24"/>
          <w:szCs w:val="24"/>
        </w:rPr>
        <w:t xml:space="preserve">customers in the adoption of EVs by facilitating installation of residential charging equipment with </w:t>
      </w:r>
      <w:r>
        <w:rPr>
          <w:rFonts w:ascii="Times New Roman" w:hAnsi="Times New Roman" w:cs="Times New Roman"/>
          <w:sz w:val="24"/>
          <w:szCs w:val="24"/>
        </w:rPr>
        <w:t xml:space="preserve">no or </w:t>
      </w:r>
      <w:r w:rsidRPr="009E0E4E">
        <w:rPr>
          <w:rFonts w:ascii="Times New Roman" w:hAnsi="Times New Roman" w:cs="Times New Roman"/>
          <w:sz w:val="24"/>
          <w:szCs w:val="24"/>
        </w:rPr>
        <w:t>low initial costs.</w:t>
      </w:r>
      <w:r w:rsidRPr="009E0E4E">
        <w:rPr>
          <w:rStyle w:val="FootnoteReference"/>
          <w:rFonts w:ascii="Times New Roman" w:hAnsi="Times New Roman" w:cs="Times New Roman"/>
          <w:sz w:val="24"/>
          <w:szCs w:val="24"/>
        </w:rPr>
        <w:footnoteReference w:id="8"/>
      </w:r>
      <w:r w:rsidRPr="009E0E4E">
        <w:rPr>
          <w:rFonts w:ascii="Times New Roman" w:hAnsi="Times New Roman" w:cs="Times New Roman"/>
          <w:sz w:val="24"/>
          <w:szCs w:val="24"/>
        </w:rPr>
        <w:t xml:space="preserve"> Prohibiting utility ownership of EV charging facilities entirely would impede utilities’ ability to offer these important services.  </w:t>
      </w:r>
    </w:p>
    <w:p w14:paraId="775593DB" w14:textId="77777777" w:rsidR="00A34C02" w:rsidRPr="009E0E4E" w:rsidRDefault="00A34C02" w:rsidP="00A34C02">
      <w:pPr>
        <w:pStyle w:val="ListParagraph"/>
        <w:numPr>
          <w:ilvl w:val="0"/>
          <w:numId w:val="1"/>
        </w:numPr>
        <w:spacing w:after="0" w:line="240" w:lineRule="auto"/>
        <w:jc w:val="both"/>
        <w:rPr>
          <w:rFonts w:ascii="Times New Roman" w:hAnsi="Times New Roman" w:cs="Times New Roman"/>
          <w:b/>
          <w:bCs/>
          <w:sz w:val="24"/>
          <w:szCs w:val="24"/>
        </w:rPr>
      </w:pPr>
      <w:r w:rsidRPr="009E0E4E">
        <w:rPr>
          <w:rFonts w:ascii="Times New Roman" w:hAnsi="Times New Roman" w:cs="Times New Roman"/>
          <w:b/>
          <w:bCs/>
          <w:sz w:val="24"/>
          <w:szCs w:val="24"/>
        </w:rPr>
        <w:t>The Commission may regulate utility services offered in a competitive market without imposing a wholesale bar on utility participation.</w:t>
      </w:r>
    </w:p>
    <w:p w14:paraId="29163CCF" w14:textId="77777777" w:rsidR="00A34C02" w:rsidRPr="009E0E4E" w:rsidRDefault="00A34C02" w:rsidP="00A34C02">
      <w:pPr>
        <w:pStyle w:val="ListParagraph"/>
        <w:spacing w:after="0" w:line="240" w:lineRule="auto"/>
        <w:jc w:val="both"/>
        <w:rPr>
          <w:rFonts w:ascii="Times New Roman" w:hAnsi="Times New Roman" w:cs="Times New Roman"/>
          <w:sz w:val="24"/>
          <w:szCs w:val="24"/>
        </w:rPr>
      </w:pPr>
    </w:p>
    <w:p w14:paraId="55279B9A" w14:textId="77777777" w:rsidR="00A34C02" w:rsidRPr="009E0E4E" w:rsidRDefault="00A34C02" w:rsidP="00A34C02">
      <w:pPr>
        <w:spacing w:after="0" w:line="480" w:lineRule="auto"/>
        <w:ind w:firstLine="720"/>
        <w:jc w:val="both"/>
        <w:rPr>
          <w:rFonts w:ascii="Times New Roman" w:hAnsi="Times New Roman" w:cs="Times New Roman"/>
          <w:sz w:val="24"/>
          <w:szCs w:val="24"/>
        </w:rPr>
      </w:pPr>
      <w:r w:rsidRPr="009E0E4E">
        <w:rPr>
          <w:rFonts w:ascii="Times New Roman" w:hAnsi="Times New Roman" w:cs="Times New Roman"/>
          <w:sz w:val="24"/>
          <w:szCs w:val="24"/>
        </w:rPr>
        <w:t>OPUC and Commission Staff take the position that the Commission should address the potential impact utility ownership of EV infrastructure may have on competition by imposing a wholesale ban on utility participation in such ownership.</w:t>
      </w:r>
      <w:r w:rsidRPr="009E0E4E">
        <w:rPr>
          <w:rStyle w:val="FootnoteReference"/>
          <w:rFonts w:ascii="Times New Roman" w:hAnsi="Times New Roman" w:cs="Times New Roman"/>
          <w:sz w:val="24"/>
          <w:szCs w:val="24"/>
        </w:rPr>
        <w:footnoteReference w:id="9"/>
      </w:r>
      <w:r w:rsidRPr="009E0E4E">
        <w:rPr>
          <w:rFonts w:ascii="Times New Roman" w:hAnsi="Times New Roman" w:cs="Times New Roman"/>
          <w:sz w:val="24"/>
          <w:szCs w:val="24"/>
        </w:rPr>
        <w:t xml:space="preserve"> This position goes too far. It is the Commission’s role to regulate how utilities may or may not offer services that are in competition with the market. Such regulation should occur on a case-by-case basis, not through blanket prohibitions. </w:t>
      </w:r>
    </w:p>
    <w:p w14:paraId="6B894AF2" w14:textId="77777777" w:rsidR="00A34C02" w:rsidRPr="009E0E4E" w:rsidRDefault="00A34C02" w:rsidP="00A34C02">
      <w:pPr>
        <w:spacing w:after="0" w:line="480" w:lineRule="auto"/>
        <w:ind w:firstLine="720"/>
        <w:jc w:val="both"/>
        <w:rPr>
          <w:rFonts w:ascii="Times New Roman" w:hAnsi="Times New Roman" w:cs="Times New Roman"/>
          <w:sz w:val="24"/>
          <w:szCs w:val="24"/>
        </w:rPr>
      </w:pPr>
      <w:r w:rsidRPr="009E0E4E">
        <w:rPr>
          <w:rFonts w:ascii="Times New Roman" w:hAnsi="Times New Roman" w:cs="Times New Roman"/>
          <w:sz w:val="24"/>
          <w:szCs w:val="24"/>
        </w:rPr>
        <w:t xml:space="preserve">OPUC and Commission Staff suggest that PURA § 11.002 and 16 TAC § 25.1 should be read so as to limit utilities to providing services in only those markets where a competitive market either does not exist or has been entirely displaced by utility regulation. However, there is no authority to support the proposition that a vertically-integrated utility should be barred from </w:t>
      </w:r>
      <w:r w:rsidRPr="009E0E4E">
        <w:rPr>
          <w:rFonts w:ascii="Times New Roman" w:hAnsi="Times New Roman" w:cs="Times New Roman"/>
          <w:sz w:val="24"/>
          <w:szCs w:val="24"/>
        </w:rPr>
        <w:lastRenderedPageBreak/>
        <w:t>offering services in areas where a competitive market for such services may also exist.</w:t>
      </w:r>
      <w:r w:rsidRPr="009E0E4E">
        <w:rPr>
          <w:rStyle w:val="FootnoteReference"/>
          <w:rFonts w:ascii="Times New Roman" w:hAnsi="Times New Roman" w:cs="Times New Roman"/>
          <w:sz w:val="24"/>
          <w:szCs w:val="24"/>
        </w:rPr>
        <w:footnoteReference w:id="10"/>
      </w:r>
      <w:r w:rsidRPr="009E0E4E">
        <w:rPr>
          <w:rFonts w:ascii="Times New Roman" w:hAnsi="Times New Roman" w:cs="Times New Roman"/>
          <w:sz w:val="24"/>
          <w:szCs w:val="24"/>
        </w:rPr>
        <w:t xml:space="preserve"> Rather, it is telling that the term “affected person” in PURA is defined to include “a competitor of a public utility with respect to a service performed by the utility.”</w:t>
      </w:r>
      <w:r w:rsidRPr="009E0E4E">
        <w:rPr>
          <w:rStyle w:val="FootnoteReference"/>
          <w:rFonts w:ascii="Times New Roman" w:hAnsi="Times New Roman" w:cs="Times New Roman"/>
          <w:sz w:val="24"/>
          <w:szCs w:val="24"/>
        </w:rPr>
        <w:footnoteReference w:id="11"/>
      </w:r>
      <w:r w:rsidRPr="009E0E4E">
        <w:rPr>
          <w:rFonts w:ascii="Times New Roman" w:hAnsi="Times New Roman" w:cs="Times New Roman"/>
          <w:sz w:val="24"/>
          <w:szCs w:val="24"/>
        </w:rPr>
        <w:t xml:space="preserve"> This necessarily presumes a regulated utility can provide services for which they have competitors. Nor is it unheard of for vertically-integrated utilities to compete to provide services; for example, vertically-integrated utilities already provide services—such as the construction of new transmission—in which they must compete with other entities.</w:t>
      </w:r>
      <w:r w:rsidRPr="009E0E4E">
        <w:rPr>
          <w:rStyle w:val="FootnoteReference"/>
          <w:rFonts w:ascii="Times New Roman" w:hAnsi="Times New Roman" w:cs="Times New Roman"/>
          <w:sz w:val="24"/>
          <w:szCs w:val="24"/>
        </w:rPr>
        <w:footnoteReference w:id="12"/>
      </w:r>
      <w:r w:rsidRPr="009E0E4E">
        <w:rPr>
          <w:rFonts w:ascii="Times New Roman" w:hAnsi="Times New Roman" w:cs="Times New Roman"/>
          <w:sz w:val="24"/>
          <w:szCs w:val="24"/>
        </w:rPr>
        <w:t xml:space="preserve"> In this matter, the Commission should find the appropriateness of utility ownership of EV infrastructure is best considered on a case-by-case basis</w:t>
      </w:r>
      <w:r>
        <w:rPr>
          <w:rFonts w:ascii="Times New Roman" w:hAnsi="Times New Roman" w:cs="Times New Roman"/>
          <w:sz w:val="24"/>
          <w:szCs w:val="24"/>
        </w:rPr>
        <w:t>,</w:t>
      </w:r>
      <w:r w:rsidRPr="009E0E4E">
        <w:rPr>
          <w:rFonts w:ascii="Times New Roman" w:hAnsi="Times New Roman" w:cs="Times New Roman"/>
          <w:sz w:val="24"/>
          <w:szCs w:val="24"/>
        </w:rPr>
        <w:t xml:space="preserve"> following a fact-based inquiry. </w:t>
      </w:r>
    </w:p>
    <w:p w14:paraId="0D0D0441" w14:textId="77777777" w:rsidR="00A34C02" w:rsidRPr="009E0E4E" w:rsidRDefault="00A34C02" w:rsidP="00A34C02">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Further, vertically-integrated utilities are not </w:t>
      </w:r>
      <w:r w:rsidRPr="006C41D5">
        <w:rPr>
          <w:rFonts w:ascii="Times New Roman" w:hAnsi="Times New Roman" w:cs="Times New Roman"/>
          <w:i/>
          <w:iCs/>
          <w:sz w:val="24"/>
          <w:szCs w:val="24"/>
        </w:rPr>
        <w:t>per se</w:t>
      </w:r>
      <w:r>
        <w:rPr>
          <w:rFonts w:ascii="Times New Roman" w:hAnsi="Times New Roman" w:cs="Times New Roman"/>
          <w:sz w:val="24"/>
          <w:szCs w:val="24"/>
        </w:rPr>
        <w:t xml:space="preserve"> barred from providing a service simply because it may be viewed as creating an unequal playing field with entities who compete to provide a similar service. Indeed, e</w:t>
      </w:r>
      <w:r w:rsidRPr="009E0E4E">
        <w:rPr>
          <w:rFonts w:ascii="Times New Roman" w:hAnsi="Times New Roman" w:cs="Times New Roman"/>
          <w:sz w:val="24"/>
          <w:szCs w:val="24"/>
        </w:rPr>
        <w:t>ven if a proposal concerning ownership of EV charging infrastructure</w:t>
      </w:r>
      <w:r>
        <w:rPr>
          <w:rFonts w:ascii="Times New Roman" w:hAnsi="Times New Roman" w:cs="Times New Roman"/>
          <w:sz w:val="24"/>
          <w:szCs w:val="24"/>
        </w:rPr>
        <w:t xml:space="preserve"> by a vertically-integrated utility is perceived</w:t>
      </w:r>
      <w:r w:rsidRPr="009E0E4E">
        <w:rPr>
          <w:rFonts w:ascii="Times New Roman" w:hAnsi="Times New Roman" w:cs="Times New Roman"/>
          <w:sz w:val="24"/>
          <w:szCs w:val="24"/>
        </w:rPr>
        <w:t xml:space="preserve"> </w:t>
      </w:r>
      <w:r>
        <w:rPr>
          <w:rFonts w:ascii="Times New Roman" w:hAnsi="Times New Roman" w:cs="Times New Roman"/>
          <w:sz w:val="24"/>
          <w:szCs w:val="24"/>
        </w:rPr>
        <w:t xml:space="preserve">to </w:t>
      </w:r>
      <w:r w:rsidRPr="009E0E4E">
        <w:rPr>
          <w:rFonts w:ascii="Times New Roman" w:hAnsi="Times New Roman" w:cs="Times New Roman"/>
          <w:sz w:val="24"/>
          <w:szCs w:val="24"/>
        </w:rPr>
        <w:t>provide</w:t>
      </w:r>
      <w:r>
        <w:rPr>
          <w:rFonts w:ascii="Times New Roman" w:hAnsi="Times New Roman" w:cs="Times New Roman"/>
          <w:sz w:val="24"/>
          <w:szCs w:val="24"/>
        </w:rPr>
        <w:t xml:space="preserve"> some</w:t>
      </w:r>
      <w:r w:rsidRPr="009E0E4E">
        <w:rPr>
          <w:rFonts w:ascii="Times New Roman" w:hAnsi="Times New Roman" w:cs="Times New Roman"/>
          <w:sz w:val="24"/>
          <w:szCs w:val="24"/>
        </w:rPr>
        <w:t xml:space="preserve"> </w:t>
      </w:r>
      <w:r>
        <w:rPr>
          <w:rFonts w:ascii="Times New Roman" w:hAnsi="Times New Roman" w:cs="Times New Roman"/>
          <w:sz w:val="24"/>
          <w:szCs w:val="24"/>
        </w:rPr>
        <w:t xml:space="preserve">type of </w:t>
      </w:r>
      <w:r w:rsidRPr="009E0E4E">
        <w:rPr>
          <w:rFonts w:ascii="Times New Roman" w:hAnsi="Times New Roman" w:cs="Times New Roman"/>
          <w:sz w:val="24"/>
          <w:szCs w:val="24"/>
        </w:rPr>
        <w:t xml:space="preserve">competitive advantage to </w:t>
      </w:r>
      <w:r>
        <w:rPr>
          <w:rFonts w:ascii="Times New Roman" w:hAnsi="Times New Roman" w:cs="Times New Roman"/>
          <w:sz w:val="24"/>
          <w:szCs w:val="24"/>
        </w:rPr>
        <w:t>the</w:t>
      </w:r>
      <w:r w:rsidRPr="009E0E4E">
        <w:rPr>
          <w:rFonts w:ascii="Times New Roman" w:hAnsi="Times New Roman" w:cs="Times New Roman"/>
          <w:sz w:val="24"/>
          <w:szCs w:val="24"/>
        </w:rPr>
        <w:t xml:space="preserve"> utility, the Commission </w:t>
      </w:r>
      <w:r>
        <w:rPr>
          <w:rFonts w:ascii="Times New Roman" w:hAnsi="Times New Roman" w:cs="Times New Roman"/>
          <w:sz w:val="24"/>
          <w:szCs w:val="24"/>
        </w:rPr>
        <w:t>could</w:t>
      </w:r>
      <w:r w:rsidRPr="009E0E4E">
        <w:rPr>
          <w:rFonts w:ascii="Times New Roman" w:hAnsi="Times New Roman" w:cs="Times New Roman"/>
          <w:sz w:val="24"/>
          <w:szCs w:val="24"/>
        </w:rPr>
        <w:t xml:space="preserve"> approve </w:t>
      </w:r>
      <w:r>
        <w:rPr>
          <w:rFonts w:ascii="Times New Roman" w:hAnsi="Times New Roman" w:cs="Times New Roman"/>
          <w:sz w:val="24"/>
          <w:szCs w:val="24"/>
        </w:rPr>
        <w:t>the</w:t>
      </w:r>
      <w:r w:rsidRPr="009E0E4E">
        <w:rPr>
          <w:rFonts w:ascii="Times New Roman" w:hAnsi="Times New Roman" w:cs="Times New Roman"/>
          <w:sz w:val="24"/>
          <w:szCs w:val="24"/>
        </w:rPr>
        <w:t xml:space="preserve"> proposal </w:t>
      </w:r>
      <w:r>
        <w:rPr>
          <w:rFonts w:ascii="Times New Roman" w:hAnsi="Times New Roman" w:cs="Times New Roman"/>
          <w:sz w:val="24"/>
          <w:szCs w:val="24"/>
        </w:rPr>
        <w:t>i</w:t>
      </w:r>
      <w:r w:rsidRPr="009E0E4E">
        <w:rPr>
          <w:rFonts w:ascii="Times New Roman" w:hAnsi="Times New Roman" w:cs="Times New Roman"/>
          <w:sz w:val="24"/>
          <w:szCs w:val="24"/>
        </w:rPr>
        <w:t xml:space="preserve">f the </w:t>
      </w:r>
      <w:r>
        <w:rPr>
          <w:rFonts w:ascii="Times New Roman" w:hAnsi="Times New Roman" w:cs="Times New Roman"/>
          <w:sz w:val="24"/>
          <w:szCs w:val="24"/>
        </w:rPr>
        <w:t xml:space="preserve">specific </w:t>
      </w:r>
      <w:r w:rsidRPr="009E0E4E">
        <w:rPr>
          <w:rFonts w:ascii="Times New Roman" w:hAnsi="Times New Roman" w:cs="Times New Roman"/>
          <w:sz w:val="24"/>
          <w:szCs w:val="24"/>
        </w:rPr>
        <w:t xml:space="preserve">facts presented </w:t>
      </w:r>
      <w:r>
        <w:rPr>
          <w:rFonts w:ascii="Times New Roman" w:hAnsi="Times New Roman" w:cs="Times New Roman"/>
          <w:sz w:val="24"/>
          <w:szCs w:val="24"/>
        </w:rPr>
        <w:t xml:space="preserve">adequately </w:t>
      </w:r>
      <w:r w:rsidRPr="009E0E4E">
        <w:rPr>
          <w:rFonts w:ascii="Times New Roman" w:hAnsi="Times New Roman" w:cs="Times New Roman"/>
          <w:sz w:val="24"/>
          <w:szCs w:val="24"/>
        </w:rPr>
        <w:t xml:space="preserve">demonstrated </w:t>
      </w:r>
      <w:r>
        <w:rPr>
          <w:rFonts w:ascii="Times New Roman" w:hAnsi="Times New Roman" w:cs="Times New Roman"/>
          <w:sz w:val="24"/>
          <w:szCs w:val="24"/>
        </w:rPr>
        <w:t xml:space="preserve">that the proposal was reasonable and </w:t>
      </w:r>
      <w:r w:rsidRPr="009E0E4E">
        <w:rPr>
          <w:rFonts w:ascii="Times New Roman" w:hAnsi="Times New Roman" w:cs="Times New Roman"/>
          <w:sz w:val="24"/>
          <w:szCs w:val="24"/>
        </w:rPr>
        <w:t xml:space="preserve">served the public interest.  As the Austin Court of Appeals once held: </w:t>
      </w:r>
    </w:p>
    <w:p w14:paraId="4768D91A" w14:textId="77777777" w:rsidR="00A34C02" w:rsidRPr="009E0E4E" w:rsidRDefault="00A34C02" w:rsidP="00A34C02">
      <w:pPr>
        <w:spacing w:after="0" w:line="240" w:lineRule="auto"/>
        <w:ind w:left="720" w:right="720"/>
        <w:jc w:val="both"/>
        <w:rPr>
          <w:rFonts w:ascii="Times New Roman" w:hAnsi="Times New Roman" w:cs="Times New Roman"/>
          <w:sz w:val="24"/>
          <w:szCs w:val="24"/>
        </w:rPr>
      </w:pPr>
      <w:r w:rsidRPr="009E0E4E">
        <w:rPr>
          <w:rFonts w:ascii="Times New Roman" w:hAnsi="Times New Roman" w:cs="Times New Roman"/>
          <w:sz w:val="24"/>
          <w:szCs w:val="24"/>
        </w:rPr>
        <w:t>the principles of monopoly, competition, equal treatment, and discrimination are not absolute, but only relative and abstract principles evidencing competing public policies which PURA implicates in varying ways in the several functions of the Commission</w:t>
      </w:r>
      <w:r>
        <w:rPr>
          <w:rFonts w:ascii="Times New Roman" w:hAnsi="Times New Roman" w:cs="Times New Roman"/>
          <w:sz w:val="24"/>
          <w:szCs w:val="24"/>
        </w:rPr>
        <w:t>…</w:t>
      </w:r>
      <w:r w:rsidRPr="009E0E4E">
        <w:rPr>
          <w:rFonts w:ascii="Times New Roman" w:hAnsi="Times New Roman" w:cs="Times New Roman"/>
          <w:sz w:val="24"/>
          <w:szCs w:val="24"/>
        </w:rPr>
        <w:t xml:space="preserve">. </w:t>
      </w:r>
      <w:r w:rsidRPr="009E0E4E">
        <w:rPr>
          <w:rFonts w:ascii="Times New Roman" w:hAnsi="Times New Roman" w:cs="Times New Roman"/>
          <w:i/>
          <w:iCs/>
          <w:sz w:val="24"/>
          <w:szCs w:val="24"/>
        </w:rPr>
        <w:t>Such principles acquire meaning only in a particular factual context</w:t>
      </w:r>
      <w:r w:rsidRPr="009E0E4E">
        <w:rPr>
          <w:rFonts w:ascii="Times New Roman" w:hAnsi="Times New Roman" w:cs="Times New Roman"/>
          <w:sz w:val="24"/>
          <w:szCs w:val="24"/>
        </w:rPr>
        <w:t>.</w:t>
      </w:r>
      <w:r w:rsidRPr="009E0E4E">
        <w:rPr>
          <w:rStyle w:val="FootnoteReference"/>
          <w:rFonts w:ascii="Times New Roman" w:hAnsi="Times New Roman" w:cs="Times New Roman"/>
          <w:sz w:val="24"/>
          <w:szCs w:val="24"/>
        </w:rPr>
        <w:footnoteReference w:id="13"/>
      </w:r>
    </w:p>
    <w:p w14:paraId="1C5D89B9" w14:textId="77777777" w:rsidR="00A34C02" w:rsidRPr="009E0E4E" w:rsidRDefault="00A34C02" w:rsidP="00A34C02">
      <w:pPr>
        <w:spacing w:after="0" w:line="240" w:lineRule="auto"/>
        <w:ind w:left="720" w:right="720"/>
        <w:jc w:val="both"/>
        <w:rPr>
          <w:rFonts w:ascii="Times New Roman" w:hAnsi="Times New Roman" w:cs="Times New Roman"/>
          <w:sz w:val="24"/>
          <w:szCs w:val="24"/>
        </w:rPr>
      </w:pPr>
    </w:p>
    <w:p w14:paraId="4B79386D" w14:textId="77777777" w:rsidR="00A34C02" w:rsidRPr="009E0E4E" w:rsidRDefault="00A34C02" w:rsidP="00A34C02">
      <w:pPr>
        <w:spacing w:after="0" w:line="480" w:lineRule="auto"/>
        <w:jc w:val="both"/>
        <w:rPr>
          <w:rFonts w:ascii="Times New Roman" w:hAnsi="Times New Roman" w:cs="Times New Roman"/>
          <w:sz w:val="24"/>
          <w:szCs w:val="24"/>
        </w:rPr>
      </w:pPr>
      <w:r>
        <w:rPr>
          <w:rFonts w:ascii="Times New Roman" w:hAnsi="Times New Roman" w:cs="Times New Roman"/>
          <w:sz w:val="24"/>
          <w:szCs w:val="24"/>
        </w:rPr>
        <w:t>I</w:t>
      </w:r>
      <w:r w:rsidRPr="009E0E4E">
        <w:rPr>
          <w:rFonts w:ascii="Times New Roman" w:hAnsi="Times New Roman" w:cs="Times New Roman"/>
          <w:sz w:val="24"/>
          <w:szCs w:val="24"/>
        </w:rPr>
        <w:t xml:space="preserve">n evaluating </w:t>
      </w:r>
      <w:r>
        <w:rPr>
          <w:rFonts w:ascii="Times New Roman" w:hAnsi="Times New Roman" w:cs="Times New Roman"/>
          <w:sz w:val="24"/>
          <w:szCs w:val="24"/>
        </w:rPr>
        <w:t xml:space="preserve">the </w:t>
      </w:r>
      <w:r w:rsidRPr="009E0E4E">
        <w:rPr>
          <w:rFonts w:ascii="Times New Roman" w:hAnsi="Times New Roman" w:cs="Times New Roman"/>
          <w:sz w:val="24"/>
          <w:szCs w:val="24"/>
        </w:rPr>
        <w:t>matters before it, the Commission is vested with the authority “to decide what public interest means in a particular case.”</w:t>
      </w:r>
      <w:r w:rsidRPr="009E0E4E">
        <w:rPr>
          <w:rStyle w:val="FootnoteReference"/>
          <w:rFonts w:ascii="Times New Roman" w:hAnsi="Times New Roman" w:cs="Times New Roman"/>
          <w:sz w:val="24"/>
          <w:szCs w:val="24"/>
        </w:rPr>
        <w:footnoteReference w:id="14"/>
      </w:r>
      <w:r w:rsidRPr="009E0E4E">
        <w:rPr>
          <w:rFonts w:ascii="Times New Roman" w:hAnsi="Times New Roman" w:cs="Times New Roman"/>
          <w:sz w:val="24"/>
          <w:szCs w:val="24"/>
        </w:rPr>
        <w:t xml:space="preserve"> </w:t>
      </w:r>
      <w:r>
        <w:rPr>
          <w:rFonts w:ascii="Times New Roman" w:hAnsi="Times New Roman" w:cs="Times New Roman"/>
          <w:sz w:val="24"/>
          <w:szCs w:val="24"/>
        </w:rPr>
        <w:t>Further,</w:t>
      </w:r>
      <w:r w:rsidRPr="009E0E4E">
        <w:rPr>
          <w:rFonts w:ascii="Times New Roman" w:hAnsi="Times New Roman" w:cs="Times New Roman"/>
          <w:sz w:val="24"/>
          <w:szCs w:val="24"/>
        </w:rPr>
        <w:t xml:space="preserve"> “the achievement of social policies through utility regulation” is a factor that may be considered by the Commission in evaluating a utility proposal.</w:t>
      </w:r>
      <w:r w:rsidRPr="009E0E4E">
        <w:rPr>
          <w:rStyle w:val="FootnoteReference"/>
          <w:rFonts w:ascii="Times New Roman" w:hAnsi="Times New Roman" w:cs="Times New Roman"/>
          <w:sz w:val="24"/>
          <w:szCs w:val="24"/>
        </w:rPr>
        <w:footnoteReference w:id="15"/>
      </w:r>
      <w:r w:rsidRPr="009E0E4E">
        <w:rPr>
          <w:rFonts w:ascii="Times New Roman" w:hAnsi="Times New Roman" w:cs="Times New Roman"/>
          <w:sz w:val="24"/>
          <w:szCs w:val="24"/>
        </w:rPr>
        <w:t xml:space="preserve"> Given all of this, there may be cases in which the Commission reasonably determines that achievement of a recognized social policy—such as Texas’s stated policy goal of increasing access to EV charging </w:t>
      </w:r>
      <w:r>
        <w:rPr>
          <w:rFonts w:ascii="Times New Roman" w:hAnsi="Times New Roman" w:cs="Times New Roman"/>
          <w:sz w:val="24"/>
          <w:szCs w:val="24"/>
        </w:rPr>
        <w:t xml:space="preserve">in </w:t>
      </w:r>
      <w:r w:rsidRPr="009E0E4E">
        <w:rPr>
          <w:rFonts w:ascii="Times New Roman" w:hAnsi="Times New Roman" w:cs="Times New Roman"/>
          <w:i/>
          <w:iCs/>
          <w:sz w:val="24"/>
          <w:szCs w:val="24"/>
        </w:rPr>
        <w:t>all</w:t>
      </w:r>
      <w:r>
        <w:rPr>
          <w:rFonts w:ascii="Times New Roman" w:hAnsi="Times New Roman" w:cs="Times New Roman"/>
          <w:sz w:val="24"/>
          <w:szCs w:val="24"/>
        </w:rPr>
        <w:t xml:space="preserve"> areas of</w:t>
      </w:r>
      <w:r w:rsidRPr="009E0E4E">
        <w:rPr>
          <w:rFonts w:ascii="Times New Roman" w:hAnsi="Times New Roman" w:cs="Times New Roman"/>
          <w:sz w:val="24"/>
          <w:szCs w:val="24"/>
        </w:rPr>
        <w:t xml:space="preserve"> the state—is served by approving a proposal for a </w:t>
      </w:r>
      <w:r>
        <w:rPr>
          <w:rFonts w:ascii="Times New Roman" w:hAnsi="Times New Roman" w:cs="Times New Roman"/>
          <w:sz w:val="24"/>
          <w:szCs w:val="24"/>
        </w:rPr>
        <w:t xml:space="preserve">vertically-integrated </w:t>
      </w:r>
      <w:r w:rsidRPr="009E0E4E">
        <w:rPr>
          <w:rFonts w:ascii="Times New Roman" w:hAnsi="Times New Roman" w:cs="Times New Roman"/>
          <w:sz w:val="24"/>
          <w:szCs w:val="24"/>
        </w:rPr>
        <w:t>utility’s ownership of EV infrastructure.</w:t>
      </w:r>
      <w:r w:rsidRPr="009E0E4E">
        <w:rPr>
          <w:rStyle w:val="FootnoteReference"/>
          <w:rFonts w:ascii="Times New Roman" w:hAnsi="Times New Roman" w:cs="Times New Roman"/>
          <w:sz w:val="24"/>
          <w:szCs w:val="24"/>
        </w:rPr>
        <w:footnoteReference w:id="16"/>
      </w:r>
      <w:r w:rsidRPr="009E0E4E">
        <w:rPr>
          <w:rFonts w:ascii="Times New Roman" w:hAnsi="Times New Roman" w:cs="Times New Roman"/>
          <w:sz w:val="24"/>
          <w:szCs w:val="24"/>
        </w:rPr>
        <w:t xml:space="preserve">   </w:t>
      </w:r>
    </w:p>
    <w:p w14:paraId="04768C9C" w14:textId="77777777" w:rsidR="00A34C02" w:rsidRPr="009E0E4E" w:rsidRDefault="00A34C02" w:rsidP="00A34C02">
      <w:pPr>
        <w:pStyle w:val="ListParagraph"/>
        <w:numPr>
          <w:ilvl w:val="0"/>
          <w:numId w:val="1"/>
        </w:numPr>
        <w:spacing w:after="0" w:line="240" w:lineRule="auto"/>
        <w:jc w:val="both"/>
        <w:rPr>
          <w:rFonts w:ascii="Times New Roman" w:hAnsi="Times New Roman" w:cs="Times New Roman"/>
          <w:b/>
          <w:bCs/>
          <w:sz w:val="24"/>
          <w:szCs w:val="24"/>
        </w:rPr>
      </w:pPr>
      <w:r w:rsidRPr="009E0E4E">
        <w:rPr>
          <w:rFonts w:ascii="Times New Roman" w:hAnsi="Times New Roman" w:cs="Times New Roman"/>
          <w:b/>
          <w:bCs/>
          <w:sz w:val="24"/>
          <w:szCs w:val="24"/>
        </w:rPr>
        <w:t>To the extent some parties advocate for limiting utility ownership to “make ready” infrastructure, it is not appropriate to impose this blanket limitation in this case.</w:t>
      </w:r>
    </w:p>
    <w:p w14:paraId="52FCFC6F" w14:textId="77777777" w:rsidR="00A34C02" w:rsidRPr="009E0E4E" w:rsidRDefault="00A34C02" w:rsidP="00A34C02">
      <w:pPr>
        <w:spacing w:after="0" w:line="240" w:lineRule="auto"/>
        <w:jc w:val="both"/>
        <w:rPr>
          <w:rFonts w:ascii="Times New Roman" w:hAnsi="Times New Roman" w:cs="Times New Roman"/>
          <w:b/>
          <w:bCs/>
          <w:sz w:val="24"/>
          <w:szCs w:val="24"/>
        </w:rPr>
      </w:pPr>
    </w:p>
    <w:p w14:paraId="4E6D1E44" w14:textId="77777777" w:rsidR="00A34C02" w:rsidRDefault="00A34C02" w:rsidP="00A34C02">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Intervenor ChargePoint, Inc.</w:t>
      </w:r>
      <w:r w:rsidRPr="009E0E4E">
        <w:rPr>
          <w:rFonts w:ascii="Times New Roman" w:hAnsi="Times New Roman" w:cs="Times New Roman"/>
          <w:sz w:val="24"/>
          <w:szCs w:val="24"/>
        </w:rPr>
        <w:t xml:space="preserve"> suggest</w:t>
      </w:r>
      <w:r>
        <w:rPr>
          <w:rFonts w:ascii="Times New Roman" w:hAnsi="Times New Roman" w:cs="Times New Roman"/>
          <w:sz w:val="24"/>
          <w:szCs w:val="24"/>
        </w:rPr>
        <w:t>s</w:t>
      </w:r>
      <w:r w:rsidRPr="009E0E4E">
        <w:rPr>
          <w:rFonts w:ascii="Times New Roman" w:hAnsi="Times New Roman" w:cs="Times New Roman"/>
          <w:sz w:val="24"/>
          <w:szCs w:val="24"/>
        </w:rPr>
        <w:t xml:space="preserve"> that utility ownership should be limited to “make ready” EV charging infrastructure, with private site hosts selecting the actual charging equipment.</w:t>
      </w:r>
      <w:r w:rsidRPr="009E0E4E">
        <w:rPr>
          <w:rStyle w:val="FootnoteReference"/>
          <w:rFonts w:ascii="Times New Roman" w:hAnsi="Times New Roman" w:cs="Times New Roman"/>
          <w:sz w:val="24"/>
          <w:szCs w:val="24"/>
        </w:rPr>
        <w:footnoteReference w:id="17"/>
      </w:r>
      <w:r w:rsidRPr="009E0E4E">
        <w:rPr>
          <w:rFonts w:ascii="Times New Roman" w:hAnsi="Times New Roman" w:cs="Times New Roman"/>
          <w:sz w:val="24"/>
          <w:szCs w:val="24"/>
        </w:rPr>
        <w:t xml:space="preserve"> While such proposals may be one viable model for </w:t>
      </w:r>
      <w:r>
        <w:rPr>
          <w:rFonts w:ascii="Times New Roman" w:hAnsi="Times New Roman" w:cs="Times New Roman"/>
          <w:sz w:val="24"/>
          <w:szCs w:val="24"/>
        </w:rPr>
        <w:t xml:space="preserve">vertically-integrated </w:t>
      </w:r>
      <w:r w:rsidRPr="009E0E4E">
        <w:rPr>
          <w:rFonts w:ascii="Times New Roman" w:hAnsi="Times New Roman" w:cs="Times New Roman"/>
          <w:sz w:val="24"/>
          <w:szCs w:val="24"/>
        </w:rPr>
        <w:t>utility ownership of EV charging infrastructure, it would be improper to impose such a blanket limitation on utility ownership in this</w:t>
      </w:r>
      <w:r>
        <w:rPr>
          <w:rFonts w:ascii="Times New Roman" w:hAnsi="Times New Roman" w:cs="Times New Roman"/>
          <w:sz w:val="24"/>
          <w:szCs w:val="24"/>
        </w:rPr>
        <w:t xml:space="preserve"> discrete</w:t>
      </w:r>
      <w:r w:rsidRPr="009E0E4E">
        <w:rPr>
          <w:rFonts w:ascii="Times New Roman" w:hAnsi="Times New Roman" w:cs="Times New Roman"/>
          <w:sz w:val="24"/>
          <w:szCs w:val="24"/>
        </w:rPr>
        <w:t xml:space="preserve"> rate case. Rather, consideration of this type of ownership model, as well as alternative models that may involve utility ownership of EV charging infrastructure, is best </w:t>
      </w:r>
      <w:r>
        <w:rPr>
          <w:rFonts w:ascii="Times New Roman" w:hAnsi="Times New Roman" w:cs="Times New Roman"/>
          <w:sz w:val="24"/>
          <w:szCs w:val="24"/>
        </w:rPr>
        <w:t>resolved</w:t>
      </w:r>
      <w:r w:rsidRPr="009E0E4E">
        <w:rPr>
          <w:rFonts w:ascii="Times New Roman" w:hAnsi="Times New Roman" w:cs="Times New Roman"/>
          <w:sz w:val="24"/>
          <w:szCs w:val="24"/>
        </w:rPr>
        <w:t xml:space="preserve"> on a case-by-case basis.</w:t>
      </w:r>
      <w:r>
        <w:rPr>
          <w:rFonts w:ascii="Times New Roman" w:hAnsi="Times New Roman" w:cs="Times New Roman"/>
          <w:sz w:val="24"/>
          <w:szCs w:val="24"/>
        </w:rPr>
        <w:t xml:space="preserve"> For example, t</w:t>
      </w:r>
      <w:r w:rsidRPr="009E0E4E">
        <w:rPr>
          <w:rFonts w:ascii="Times New Roman" w:hAnsi="Times New Roman" w:cs="Times New Roman"/>
          <w:sz w:val="24"/>
          <w:szCs w:val="24"/>
        </w:rPr>
        <w:t xml:space="preserve">here may </w:t>
      </w:r>
      <w:r>
        <w:rPr>
          <w:rFonts w:ascii="Times New Roman" w:hAnsi="Times New Roman" w:cs="Times New Roman"/>
          <w:sz w:val="24"/>
          <w:szCs w:val="24"/>
        </w:rPr>
        <w:t xml:space="preserve">be </w:t>
      </w:r>
      <w:r w:rsidRPr="009E0E4E">
        <w:rPr>
          <w:rFonts w:ascii="Times New Roman" w:hAnsi="Times New Roman" w:cs="Times New Roman"/>
          <w:sz w:val="24"/>
          <w:szCs w:val="24"/>
        </w:rPr>
        <w:t xml:space="preserve">cases where limiting a vertically-integrated utilities to this type of </w:t>
      </w:r>
      <w:r>
        <w:rPr>
          <w:rFonts w:ascii="Times New Roman" w:hAnsi="Times New Roman" w:cs="Times New Roman"/>
          <w:sz w:val="24"/>
          <w:szCs w:val="24"/>
        </w:rPr>
        <w:t xml:space="preserve">“make ready” </w:t>
      </w:r>
      <w:r w:rsidRPr="009E0E4E">
        <w:rPr>
          <w:rFonts w:ascii="Times New Roman" w:hAnsi="Times New Roman" w:cs="Times New Roman"/>
          <w:sz w:val="24"/>
          <w:szCs w:val="24"/>
        </w:rPr>
        <w:t>ownership model limits the expansion of EV charging within the utility’s service territory</w:t>
      </w:r>
      <w:r>
        <w:rPr>
          <w:rFonts w:ascii="Times New Roman" w:hAnsi="Times New Roman" w:cs="Times New Roman"/>
          <w:sz w:val="24"/>
          <w:szCs w:val="24"/>
        </w:rPr>
        <w:t xml:space="preserve"> in a manner that is contrary to the public interest—t</w:t>
      </w:r>
      <w:r w:rsidRPr="009E0E4E">
        <w:rPr>
          <w:rFonts w:ascii="Times New Roman" w:hAnsi="Times New Roman" w:cs="Times New Roman"/>
          <w:sz w:val="24"/>
          <w:szCs w:val="24"/>
        </w:rPr>
        <w:t xml:space="preserve">his could be particularly true in traditionally underserved areas of the state. </w:t>
      </w:r>
    </w:p>
    <w:p w14:paraId="4B2EFEC7" w14:textId="77777777" w:rsidR="00A34C02" w:rsidRPr="00E85CA5" w:rsidRDefault="00A34C02" w:rsidP="00A34C02">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Notably, Intervenor FlashParking, Inc. acknowledges that its support of a ETI’s rider proposals in this matter turn upon the specifics of the riders put at issue in this case.</w:t>
      </w:r>
      <w:r>
        <w:rPr>
          <w:rStyle w:val="FootnoteReference"/>
          <w:rFonts w:ascii="Times New Roman" w:hAnsi="Times New Roman" w:cs="Times New Roman"/>
          <w:sz w:val="24"/>
          <w:szCs w:val="24"/>
        </w:rPr>
        <w:footnoteReference w:id="18"/>
      </w:r>
      <w:r>
        <w:rPr>
          <w:rFonts w:ascii="Times New Roman" w:hAnsi="Times New Roman" w:cs="Times New Roman"/>
          <w:sz w:val="24"/>
          <w:szCs w:val="24"/>
        </w:rPr>
        <w:t xml:space="preserve"> In that vein, the Commission should find that proposed ownership of EV infrastructure by vertically-integrated utility is an issue that must be evaluated based on the facts presented in each particular case, and not through the imposition of blanket limitations. </w:t>
      </w:r>
    </w:p>
    <w:p w14:paraId="64F0FD98" w14:textId="77777777" w:rsidR="00A34C02" w:rsidRPr="009E0E4E" w:rsidRDefault="00A34C02" w:rsidP="00A34C02">
      <w:pPr>
        <w:pStyle w:val="ListParagraph"/>
        <w:numPr>
          <w:ilvl w:val="0"/>
          <w:numId w:val="1"/>
        </w:numPr>
        <w:spacing w:after="0" w:line="240" w:lineRule="auto"/>
        <w:jc w:val="both"/>
        <w:rPr>
          <w:rFonts w:ascii="Times New Roman" w:hAnsi="Times New Roman" w:cs="Times New Roman"/>
          <w:b/>
          <w:bCs/>
          <w:sz w:val="24"/>
          <w:szCs w:val="24"/>
        </w:rPr>
      </w:pPr>
      <w:r w:rsidRPr="009E0E4E">
        <w:rPr>
          <w:rFonts w:ascii="Times New Roman" w:hAnsi="Times New Roman" w:cs="Times New Roman"/>
          <w:b/>
          <w:bCs/>
          <w:sz w:val="24"/>
          <w:szCs w:val="24"/>
        </w:rPr>
        <w:t>Concerns regarding how customers may or may not bear costs related to utility ownership of EV charging infrastructure should be address</w:t>
      </w:r>
      <w:r>
        <w:rPr>
          <w:rFonts w:ascii="Times New Roman" w:hAnsi="Times New Roman" w:cs="Times New Roman"/>
          <w:b/>
          <w:bCs/>
          <w:sz w:val="24"/>
          <w:szCs w:val="24"/>
        </w:rPr>
        <w:t>ed</w:t>
      </w:r>
      <w:r w:rsidRPr="009E0E4E">
        <w:rPr>
          <w:rFonts w:ascii="Times New Roman" w:hAnsi="Times New Roman" w:cs="Times New Roman"/>
          <w:b/>
          <w:bCs/>
          <w:sz w:val="24"/>
          <w:szCs w:val="24"/>
        </w:rPr>
        <w:t xml:space="preserve"> on a case-by-case basis.</w:t>
      </w:r>
    </w:p>
    <w:p w14:paraId="0C3DA03D" w14:textId="77777777" w:rsidR="00A34C02" w:rsidRPr="009E0E4E" w:rsidRDefault="00A34C02" w:rsidP="00A34C02">
      <w:pPr>
        <w:spacing w:after="0" w:line="240" w:lineRule="auto"/>
        <w:jc w:val="both"/>
        <w:rPr>
          <w:rFonts w:ascii="Times New Roman" w:hAnsi="Times New Roman" w:cs="Times New Roman"/>
          <w:sz w:val="24"/>
          <w:szCs w:val="24"/>
        </w:rPr>
      </w:pPr>
    </w:p>
    <w:p w14:paraId="33390CD7" w14:textId="77777777" w:rsidR="00A34C02" w:rsidRDefault="00A34C02" w:rsidP="00A34C02">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Finally, </w:t>
      </w:r>
      <w:r w:rsidRPr="009E0E4E">
        <w:rPr>
          <w:rFonts w:ascii="Times New Roman" w:hAnsi="Times New Roman" w:cs="Times New Roman"/>
          <w:sz w:val="24"/>
          <w:szCs w:val="24"/>
        </w:rPr>
        <w:t xml:space="preserve">OPUC objects to ETI’s proposed riders in </w:t>
      </w:r>
      <w:r>
        <w:rPr>
          <w:rFonts w:ascii="Times New Roman" w:hAnsi="Times New Roman" w:cs="Times New Roman"/>
          <w:sz w:val="24"/>
          <w:szCs w:val="24"/>
        </w:rPr>
        <w:t>significant</w:t>
      </w:r>
      <w:r w:rsidRPr="009E0E4E">
        <w:rPr>
          <w:rFonts w:ascii="Times New Roman" w:hAnsi="Times New Roman" w:cs="Times New Roman"/>
          <w:sz w:val="24"/>
          <w:szCs w:val="24"/>
        </w:rPr>
        <w:t xml:space="preserve"> part based on assertions that the riders may shift costs to customers who </w:t>
      </w:r>
      <w:r>
        <w:rPr>
          <w:rFonts w:ascii="Times New Roman" w:hAnsi="Times New Roman" w:cs="Times New Roman"/>
          <w:sz w:val="24"/>
          <w:szCs w:val="24"/>
        </w:rPr>
        <w:t>may</w:t>
      </w:r>
      <w:r w:rsidRPr="009E0E4E">
        <w:rPr>
          <w:rFonts w:ascii="Times New Roman" w:hAnsi="Times New Roman" w:cs="Times New Roman"/>
          <w:sz w:val="24"/>
          <w:szCs w:val="24"/>
        </w:rPr>
        <w:t xml:space="preserve"> not </w:t>
      </w:r>
      <w:r>
        <w:rPr>
          <w:rFonts w:ascii="Times New Roman" w:hAnsi="Times New Roman" w:cs="Times New Roman"/>
          <w:sz w:val="24"/>
          <w:szCs w:val="24"/>
        </w:rPr>
        <w:t xml:space="preserve">directly </w:t>
      </w:r>
      <w:r w:rsidRPr="009E0E4E">
        <w:rPr>
          <w:rFonts w:ascii="Times New Roman" w:hAnsi="Times New Roman" w:cs="Times New Roman"/>
          <w:sz w:val="24"/>
          <w:szCs w:val="24"/>
        </w:rPr>
        <w:t>benefit from EV charging infrastructure.</w:t>
      </w:r>
      <w:r>
        <w:rPr>
          <w:rStyle w:val="FootnoteReference"/>
          <w:rFonts w:ascii="Times New Roman" w:hAnsi="Times New Roman" w:cs="Times New Roman"/>
          <w:sz w:val="24"/>
          <w:szCs w:val="24"/>
        </w:rPr>
        <w:footnoteReference w:id="19"/>
      </w:r>
      <w:r w:rsidRPr="009E0E4E">
        <w:rPr>
          <w:rFonts w:ascii="Times New Roman" w:hAnsi="Times New Roman" w:cs="Times New Roman"/>
          <w:sz w:val="24"/>
          <w:szCs w:val="24"/>
        </w:rPr>
        <w:t xml:space="preserve"> As an initial matter, SPS reiterates that it takes no position on whether or not ETI”s requested riders should be approved. However, concerns related to cost-shifting</w:t>
      </w:r>
      <w:r>
        <w:rPr>
          <w:rFonts w:ascii="Times New Roman" w:hAnsi="Times New Roman" w:cs="Times New Roman"/>
          <w:sz w:val="24"/>
          <w:szCs w:val="24"/>
        </w:rPr>
        <w:t xml:space="preserve"> or alleged discriminatory rates</w:t>
      </w:r>
      <w:r w:rsidRPr="009E0E4E">
        <w:rPr>
          <w:rFonts w:ascii="Times New Roman" w:hAnsi="Times New Roman" w:cs="Times New Roman"/>
          <w:sz w:val="24"/>
          <w:szCs w:val="24"/>
        </w:rPr>
        <w:t xml:space="preserve"> can be addressed by the Commission on a case-by-case basis</w:t>
      </w:r>
      <w:r>
        <w:rPr>
          <w:rFonts w:ascii="Times New Roman" w:hAnsi="Times New Roman" w:cs="Times New Roman"/>
          <w:sz w:val="24"/>
          <w:szCs w:val="24"/>
        </w:rPr>
        <w:t>; they</w:t>
      </w:r>
      <w:r w:rsidRPr="009E0E4E">
        <w:rPr>
          <w:rFonts w:ascii="Times New Roman" w:hAnsi="Times New Roman" w:cs="Times New Roman"/>
          <w:sz w:val="24"/>
          <w:szCs w:val="24"/>
        </w:rPr>
        <w:t xml:space="preserve"> are not </w:t>
      </w:r>
      <w:r>
        <w:rPr>
          <w:rFonts w:ascii="Times New Roman" w:hAnsi="Times New Roman" w:cs="Times New Roman"/>
          <w:sz w:val="24"/>
          <w:szCs w:val="24"/>
        </w:rPr>
        <w:t xml:space="preserve">a valid </w:t>
      </w:r>
      <w:r w:rsidRPr="009E0E4E">
        <w:rPr>
          <w:rFonts w:ascii="Times New Roman" w:hAnsi="Times New Roman" w:cs="Times New Roman"/>
          <w:sz w:val="24"/>
          <w:szCs w:val="24"/>
        </w:rPr>
        <w:t xml:space="preserve">reason for imposing a wholesale bar on utility ownership of EV infrastructure.  </w:t>
      </w:r>
    </w:p>
    <w:p w14:paraId="2EAE754A" w14:textId="77777777" w:rsidR="00A34C02" w:rsidRDefault="00A34C02" w:rsidP="00A34C02">
      <w:pPr>
        <w:spacing w:after="0" w:line="480" w:lineRule="auto"/>
        <w:ind w:firstLine="720"/>
        <w:jc w:val="both"/>
        <w:rPr>
          <w:rFonts w:ascii="Times New Roman" w:hAnsi="Times New Roman" w:cs="Times New Roman"/>
          <w:sz w:val="24"/>
          <w:szCs w:val="24"/>
        </w:rPr>
      </w:pPr>
      <w:r w:rsidRPr="009E0E4E">
        <w:rPr>
          <w:rFonts w:ascii="Times New Roman" w:hAnsi="Times New Roman" w:cs="Times New Roman"/>
          <w:sz w:val="24"/>
          <w:szCs w:val="24"/>
        </w:rPr>
        <w:t xml:space="preserve">Indeed, there could be many instances where a </w:t>
      </w:r>
      <w:r>
        <w:rPr>
          <w:rFonts w:ascii="Times New Roman" w:hAnsi="Times New Roman" w:cs="Times New Roman"/>
          <w:sz w:val="24"/>
          <w:szCs w:val="24"/>
        </w:rPr>
        <w:t xml:space="preserve">vertically-integrated utility </w:t>
      </w:r>
      <w:r w:rsidRPr="009E0E4E">
        <w:rPr>
          <w:rFonts w:ascii="Times New Roman" w:hAnsi="Times New Roman" w:cs="Times New Roman"/>
          <w:sz w:val="24"/>
          <w:szCs w:val="24"/>
        </w:rPr>
        <w:t>proposes a rate</w:t>
      </w:r>
      <w:r>
        <w:rPr>
          <w:rFonts w:ascii="Times New Roman" w:hAnsi="Times New Roman" w:cs="Times New Roman"/>
          <w:sz w:val="24"/>
          <w:szCs w:val="24"/>
        </w:rPr>
        <w:t xml:space="preserve"> concerning EV infrastructure</w:t>
      </w:r>
      <w:r w:rsidRPr="009E0E4E">
        <w:rPr>
          <w:rFonts w:ascii="Times New Roman" w:hAnsi="Times New Roman" w:cs="Times New Roman"/>
          <w:sz w:val="24"/>
          <w:szCs w:val="24"/>
        </w:rPr>
        <w:t xml:space="preserve"> that the Commission finds </w:t>
      </w:r>
      <w:r>
        <w:rPr>
          <w:rFonts w:ascii="Times New Roman" w:hAnsi="Times New Roman" w:cs="Times New Roman"/>
          <w:sz w:val="24"/>
          <w:szCs w:val="24"/>
        </w:rPr>
        <w:t>reasonably</w:t>
      </w:r>
      <w:r w:rsidRPr="009E0E4E">
        <w:rPr>
          <w:rFonts w:ascii="Times New Roman" w:hAnsi="Times New Roman" w:cs="Times New Roman"/>
          <w:sz w:val="24"/>
          <w:szCs w:val="24"/>
        </w:rPr>
        <w:t xml:space="preserve"> allocates costs, and the Commission is always empowered to deny approval of a proposed rate that it finds does not appropriately allocate costs or is </w:t>
      </w:r>
      <w:r>
        <w:rPr>
          <w:rFonts w:ascii="Times New Roman" w:hAnsi="Times New Roman" w:cs="Times New Roman"/>
          <w:sz w:val="24"/>
          <w:szCs w:val="24"/>
        </w:rPr>
        <w:t>otherwise unreasonable</w:t>
      </w:r>
      <w:r w:rsidRPr="009E0E4E">
        <w:rPr>
          <w:rFonts w:ascii="Times New Roman" w:hAnsi="Times New Roman" w:cs="Times New Roman"/>
          <w:sz w:val="24"/>
          <w:szCs w:val="24"/>
        </w:rPr>
        <w:t xml:space="preserve">. </w:t>
      </w:r>
      <w:r>
        <w:rPr>
          <w:rFonts w:ascii="Times New Roman" w:hAnsi="Times New Roman" w:cs="Times New Roman"/>
          <w:sz w:val="24"/>
          <w:szCs w:val="24"/>
        </w:rPr>
        <w:t xml:space="preserve">Moreover, the Commission has broad discretion in reviewing and approving rates; rates that treat classes of customers differently are not </w:t>
      </w:r>
      <w:r w:rsidRPr="00AB1BEA">
        <w:rPr>
          <w:rFonts w:ascii="Times New Roman" w:hAnsi="Times New Roman" w:cs="Times New Roman"/>
          <w:i/>
          <w:iCs/>
          <w:sz w:val="24"/>
          <w:szCs w:val="24"/>
        </w:rPr>
        <w:t>per se</w:t>
      </w:r>
      <w:r>
        <w:rPr>
          <w:rFonts w:ascii="Times New Roman" w:hAnsi="Times New Roman" w:cs="Times New Roman"/>
          <w:sz w:val="24"/>
          <w:szCs w:val="24"/>
        </w:rPr>
        <w:t xml:space="preserve"> unreasonable and can be justified based on the specific circumstances presented in a particular case.</w:t>
      </w:r>
      <w:r>
        <w:rPr>
          <w:rStyle w:val="FootnoteReference"/>
          <w:rFonts w:ascii="Times New Roman" w:hAnsi="Times New Roman" w:cs="Times New Roman"/>
          <w:sz w:val="24"/>
          <w:szCs w:val="24"/>
        </w:rPr>
        <w:footnoteReference w:id="20"/>
      </w:r>
      <w:r>
        <w:rPr>
          <w:rFonts w:ascii="Times New Roman" w:hAnsi="Times New Roman" w:cs="Times New Roman"/>
          <w:sz w:val="24"/>
          <w:szCs w:val="24"/>
        </w:rPr>
        <w:t xml:space="preserve">  </w:t>
      </w:r>
    </w:p>
    <w:p w14:paraId="3071C34D" w14:textId="77777777" w:rsidR="00A60FA9" w:rsidRDefault="00A60FA9">
      <w:pPr>
        <w:rPr>
          <w:rFonts w:ascii="Times New Roman" w:hAnsi="Times New Roman" w:cs="Times New Roman"/>
          <w:b/>
          <w:bCs/>
          <w:sz w:val="24"/>
          <w:szCs w:val="24"/>
        </w:rPr>
      </w:pPr>
      <w:r>
        <w:rPr>
          <w:rFonts w:ascii="Times New Roman" w:hAnsi="Times New Roman" w:cs="Times New Roman"/>
          <w:b/>
          <w:bCs/>
          <w:sz w:val="24"/>
          <w:szCs w:val="24"/>
        </w:rPr>
        <w:br w:type="page"/>
      </w:r>
    </w:p>
    <w:p w14:paraId="75D661E9" w14:textId="43690F03" w:rsidR="00A34C02" w:rsidRPr="00A04FDF" w:rsidRDefault="00A34C02" w:rsidP="00A34C02">
      <w:pPr>
        <w:pStyle w:val="ListParagraph"/>
        <w:numPr>
          <w:ilvl w:val="0"/>
          <w:numId w:val="1"/>
        </w:numPr>
        <w:spacing w:after="0" w:line="240" w:lineRule="auto"/>
        <w:jc w:val="both"/>
        <w:rPr>
          <w:rFonts w:ascii="Times New Roman" w:hAnsi="Times New Roman" w:cs="Times New Roman"/>
          <w:b/>
          <w:bCs/>
          <w:sz w:val="24"/>
          <w:szCs w:val="24"/>
        </w:rPr>
      </w:pPr>
      <w:r w:rsidRPr="00A04FDF">
        <w:rPr>
          <w:rFonts w:ascii="Times New Roman" w:hAnsi="Times New Roman" w:cs="Times New Roman"/>
          <w:b/>
          <w:bCs/>
          <w:sz w:val="24"/>
          <w:szCs w:val="24"/>
        </w:rPr>
        <w:lastRenderedPageBreak/>
        <w:t xml:space="preserve">Conclusion </w:t>
      </w:r>
      <w:r w:rsidRPr="00A04FDF">
        <w:rPr>
          <w:rFonts w:ascii="Times New Roman" w:hAnsi="Times New Roman" w:cs="Times New Roman"/>
          <w:b/>
          <w:bCs/>
          <w:sz w:val="24"/>
          <w:szCs w:val="24"/>
        </w:rPr>
        <w:cr/>
      </w:r>
    </w:p>
    <w:p w14:paraId="3C77132B" w14:textId="77777777" w:rsidR="00A34C02" w:rsidRDefault="00A34C02" w:rsidP="00A34C02">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SPS respectfully requests that the Commission find that vertically-integrated utilities are not prohibited from owning EV charging infrastructure. </w:t>
      </w:r>
      <w:r>
        <w:rPr>
          <w:rFonts w:ascii="Times New Roman" w:hAnsi="Times New Roman" w:cs="Times New Roman"/>
          <w:sz w:val="24"/>
          <w:szCs w:val="24"/>
        </w:rPr>
        <w:tab/>
      </w:r>
    </w:p>
    <w:p w14:paraId="14C991D3" w14:textId="77777777" w:rsidR="00A60FA9" w:rsidRDefault="00A60FA9" w:rsidP="00EC4530">
      <w:pPr>
        <w:ind w:left="2880" w:firstLine="720"/>
        <w:rPr>
          <w:rFonts w:ascii="Times New Roman" w:hAnsi="Times New Roman" w:cs="Times New Roman"/>
          <w:sz w:val="24"/>
          <w:szCs w:val="24"/>
        </w:rPr>
      </w:pPr>
    </w:p>
    <w:p w14:paraId="0D74FC72" w14:textId="175E3951" w:rsidR="00B41C22" w:rsidRPr="009E0E4E" w:rsidRDefault="00B41C22" w:rsidP="00EC4530">
      <w:pPr>
        <w:ind w:left="2880" w:firstLine="720"/>
        <w:rPr>
          <w:rFonts w:ascii="Times New Roman" w:hAnsi="Times New Roman" w:cs="Times New Roman"/>
          <w:sz w:val="24"/>
          <w:szCs w:val="24"/>
        </w:rPr>
      </w:pPr>
      <w:r w:rsidRPr="009E0E4E">
        <w:rPr>
          <w:rFonts w:ascii="Times New Roman" w:hAnsi="Times New Roman" w:cs="Times New Roman"/>
          <w:sz w:val="24"/>
          <w:szCs w:val="24"/>
        </w:rPr>
        <w:t>Respectfully submitted,</w:t>
      </w:r>
    </w:p>
    <w:p w14:paraId="15FFD297" w14:textId="49FDA83B" w:rsidR="00B41C22" w:rsidRPr="009E0E4E" w:rsidRDefault="00B41C22" w:rsidP="00B41C22">
      <w:pPr>
        <w:spacing w:after="0" w:line="240" w:lineRule="auto"/>
        <w:ind w:left="2880" w:firstLine="720"/>
        <w:jc w:val="both"/>
        <w:rPr>
          <w:rFonts w:ascii="Times New Roman" w:hAnsi="Times New Roman" w:cs="Times New Roman"/>
          <w:sz w:val="24"/>
          <w:szCs w:val="24"/>
        </w:rPr>
      </w:pPr>
    </w:p>
    <w:p w14:paraId="232BB9CD" w14:textId="77777777" w:rsidR="00B41C22" w:rsidRPr="009E0E4E" w:rsidRDefault="00B41C22" w:rsidP="00B41C22">
      <w:pPr>
        <w:spacing w:after="0" w:line="240" w:lineRule="auto"/>
        <w:ind w:left="2880" w:firstLine="720"/>
        <w:jc w:val="both"/>
        <w:rPr>
          <w:rFonts w:ascii="Times New Roman" w:hAnsi="Times New Roman" w:cs="Times New Roman"/>
          <w:sz w:val="24"/>
          <w:szCs w:val="24"/>
        </w:rPr>
      </w:pPr>
    </w:p>
    <w:p w14:paraId="0315C579" w14:textId="59F778AD" w:rsidR="00B41C22" w:rsidRPr="009E0E4E" w:rsidRDefault="00766AB5" w:rsidP="00B41C22">
      <w:pPr>
        <w:spacing w:after="0" w:line="240" w:lineRule="auto"/>
        <w:ind w:left="2880" w:firstLine="720"/>
        <w:jc w:val="both"/>
        <w:rPr>
          <w:rFonts w:ascii="Times New Roman" w:hAnsi="Times New Roman" w:cs="Times New Roman"/>
          <w:sz w:val="24"/>
          <w:szCs w:val="24"/>
        </w:rPr>
      </w:pPr>
      <w:r w:rsidRPr="009E0E4E">
        <w:rPr>
          <w:rFonts w:ascii="Times New Roman" w:hAnsi="Times New Roman" w:cs="Times New Roman"/>
          <w:sz w:val="24"/>
          <w:szCs w:val="24"/>
        </w:rPr>
        <w:t>__</w:t>
      </w:r>
      <w:r w:rsidRPr="009E0E4E">
        <w:rPr>
          <w:rFonts w:ascii="Times New Roman" w:hAnsi="Times New Roman" w:cs="Times New Roman"/>
          <w:i/>
          <w:iCs/>
          <w:sz w:val="24"/>
          <w:szCs w:val="24"/>
          <w:u w:val="single"/>
        </w:rPr>
        <w:t>/s/ Erika M. Kane</w:t>
      </w:r>
      <w:r w:rsidR="00B41C22" w:rsidRPr="009E0E4E">
        <w:rPr>
          <w:rFonts w:ascii="Times New Roman" w:hAnsi="Times New Roman" w:cs="Times New Roman"/>
          <w:sz w:val="24"/>
          <w:szCs w:val="24"/>
        </w:rPr>
        <w:t>__________</w:t>
      </w:r>
    </w:p>
    <w:p w14:paraId="51B955F8" w14:textId="19693092" w:rsidR="00B41C22" w:rsidRPr="009E0E4E" w:rsidRDefault="00B41C22" w:rsidP="00B41C22">
      <w:pPr>
        <w:spacing w:after="0" w:line="240" w:lineRule="auto"/>
        <w:ind w:left="2880" w:firstLine="720"/>
        <w:jc w:val="both"/>
        <w:rPr>
          <w:rFonts w:ascii="Times New Roman" w:hAnsi="Times New Roman" w:cs="Times New Roman"/>
          <w:sz w:val="24"/>
          <w:szCs w:val="24"/>
        </w:rPr>
      </w:pPr>
      <w:r w:rsidRPr="009E0E4E">
        <w:rPr>
          <w:rFonts w:ascii="Times New Roman" w:hAnsi="Times New Roman" w:cs="Times New Roman"/>
          <w:sz w:val="24"/>
          <w:szCs w:val="24"/>
        </w:rPr>
        <w:t>Erika M. Kane</w:t>
      </w:r>
    </w:p>
    <w:p w14:paraId="4E23DE0A" w14:textId="1AA1A732" w:rsidR="00B41C22" w:rsidRPr="009E0E4E" w:rsidRDefault="00B41C22" w:rsidP="00B41C22">
      <w:pPr>
        <w:spacing w:after="0" w:line="240" w:lineRule="auto"/>
        <w:ind w:left="2880" w:firstLine="720"/>
        <w:jc w:val="both"/>
        <w:rPr>
          <w:rFonts w:ascii="Times New Roman" w:hAnsi="Times New Roman" w:cs="Times New Roman"/>
          <w:sz w:val="24"/>
          <w:szCs w:val="24"/>
        </w:rPr>
      </w:pPr>
      <w:r w:rsidRPr="009E0E4E">
        <w:rPr>
          <w:rFonts w:ascii="Times New Roman" w:hAnsi="Times New Roman" w:cs="Times New Roman"/>
          <w:sz w:val="24"/>
          <w:szCs w:val="24"/>
        </w:rPr>
        <w:t>State Bar No. 24050850</w:t>
      </w:r>
    </w:p>
    <w:p w14:paraId="250F196A" w14:textId="77777777" w:rsidR="00766AB5" w:rsidRPr="009E0E4E" w:rsidRDefault="00766AB5" w:rsidP="00766AB5">
      <w:pPr>
        <w:spacing w:after="0" w:line="240" w:lineRule="auto"/>
        <w:ind w:left="2880" w:firstLine="720"/>
        <w:jc w:val="both"/>
        <w:rPr>
          <w:rFonts w:ascii="Times New Roman" w:hAnsi="Times New Roman" w:cs="Times New Roman"/>
          <w:sz w:val="24"/>
          <w:szCs w:val="24"/>
        </w:rPr>
      </w:pPr>
      <w:r w:rsidRPr="009E0E4E">
        <w:rPr>
          <w:rFonts w:ascii="Times New Roman" w:hAnsi="Times New Roman" w:cs="Times New Roman"/>
          <w:sz w:val="24"/>
          <w:szCs w:val="24"/>
        </w:rPr>
        <w:t>Mark A. Walker</w:t>
      </w:r>
    </w:p>
    <w:p w14:paraId="13073DF2" w14:textId="77777777" w:rsidR="00766AB5" w:rsidRPr="009E0E4E" w:rsidRDefault="00766AB5" w:rsidP="00766AB5">
      <w:pPr>
        <w:spacing w:after="0" w:line="240" w:lineRule="auto"/>
        <w:ind w:left="2880" w:firstLine="720"/>
        <w:jc w:val="both"/>
        <w:rPr>
          <w:rFonts w:ascii="Times New Roman" w:hAnsi="Times New Roman" w:cs="Times New Roman"/>
          <w:sz w:val="24"/>
          <w:szCs w:val="24"/>
        </w:rPr>
      </w:pPr>
      <w:r w:rsidRPr="009E0E4E">
        <w:rPr>
          <w:rFonts w:ascii="Times New Roman" w:hAnsi="Times New Roman" w:cs="Times New Roman"/>
          <w:sz w:val="24"/>
          <w:szCs w:val="24"/>
        </w:rPr>
        <w:t>State Bar No. 20717318</w:t>
      </w:r>
    </w:p>
    <w:p w14:paraId="510A0265" w14:textId="7A4D9DA0" w:rsidR="00B41C22" w:rsidRPr="009E0E4E" w:rsidRDefault="00B41C22" w:rsidP="00766AB5">
      <w:pPr>
        <w:spacing w:after="0" w:line="240" w:lineRule="auto"/>
        <w:ind w:left="2880" w:firstLine="720"/>
        <w:jc w:val="both"/>
        <w:rPr>
          <w:rFonts w:ascii="Times New Roman" w:hAnsi="Times New Roman" w:cs="Times New Roman"/>
          <w:sz w:val="24"/>
          <w:szCs w:val="24"/>
        </w:rPr>
      </w:pPr>
      <w:r w:rsidRPr="009E0E4E">
        <w:rPr>
          <w:rFonts w:ascii="Times New Roman" w:hAnsi="Times New Roman" w:cs="Times New Roman"/>
          <w:sz w:val="24"/>
          <w:szCs w:val="24"/>
        </w:rPr>
        <w:t>9</w:t>
      </w:r>
      <w:r w:rsidR="00766AB5" w:rsidRPr="009E0E4E">
        <w:rPr>
          <w:rFonts w:ascii="Times New Roman" w:hAnsi="Times New Roman" w:cs="Times New Roman"/>
          <w:sz w:val="24"/>
          <w:szCs w:val="24"/>
        </w:rPr>
        <w:t>19</w:t>
      </w:r>
      <w:r w:rsidRPr="009E0E4E">
        <w:rPr>
          <w:rFonts w:ascii="Times New Roman" w:hAnsi="Times New Roman" w:cs="Times New Roman"/>
          <w:sz w:val="24"/>
          <w:szCs w:val="24"/>
        </w:rPr>
        <w:t xml:space="preserve"> Congress Avenue, Suite 900</w:t>
      </w:r>
    </w:p>
    <w:p w14:paraId="080AB197" w14:textId="77777777" w:rsidR="00B41C22" w:rsidRPr="009E0E4E" w:rsidRDefault="00B41C22" w:rsidP="00B41C22">
      <w:pPr>
        <w:spacing w:after="0" w:line="240" w:lineRule="auto"/>
        <w:ind w:left="2880" w:firstLine="720"/>
        <w:jc w:val="both"/>
        <w:rPr>
          <w:rFonts w:ascii="Times New Roman" w:hAnsi="Times New Roman" w:cs="Times New Roman"/>
          <w:sz w:val="24"/>
          <w:szCs w:val="24"/>
        </w:rPr>
      </w:pPr>
      <w:r w:rsidRPr="009E0E4E">
        <w:rPr>
          <w:rFonts w:ascii="Times New Roman" w:hAnsi="Times New Roman" w:cs="Times New Roman"/>
          <w:sz w:val="24"/>
          <w:szCs w:val="24"/>
        </w:rPr>
        <w:t>Austin, Texas 78701</w:t>
      </w:r>
    </w:p>
    <w:p w14:paraId="1D4B999E" w14:textId="52E1B7AE" w:rsidR="00B41C22" w:rsidRPr="009E0E4E" w:rsidRDefault="00B41C22" w:rsidP="00B41C22">
      <w:pPr>
        <w:spacing w:after="0" w:line="240" w:lineRule="auto"/>
        <w:ind w:left="2880" w:firstLine="720"/>
        <w:jc w:val="both"/>
        <w:rPr>
          <w:rFonts w:ascii="Times New Roman" w:hAnsi="Times New Roman" w:cs="Times New Roman"/>
          <w:sz w:val="24"/>
          <w:szCs w:val="24"/>
        </w:rPr>
      </w:pPr>
      <w:r w:rsidRPr="009E0E4E">
        <w:rPr>
          <w:rFonts w:ascii="Times New Roman" w:hAnsi="Times New Roman" w:cs="Times New Roman"/>
          <w:sz w:val="24"/>
          <w:szCs w:val="24"/>
        </w:rPr>
        <w:t>Office: (512) 236-6938</w:t>
      </w:r>
    </w:p>
    <w:p w14:paraId="7850F8DE" w14:textId="77777777" w:rsidR="00B41C22" w:rsidRPr="009E0E4E" w:rsidRDefault="00B41C22" w:rsidP="00B41C22">
      <w:pPr>
        <w:spacing w:after="0" w:line="240" w:lineRule="auto"/>
        <w:ind w:left="2880" w:firstLine="720"/>
        <w:jc w:val="both"/>
        <w:rPr>
          <w:rFonts w:ascii="Times New Roman" w:hAnsi="Times New Roman" w:cs="Times New Roman"/>
          <w:sz w:val="24"/>
          <w:szCs w:val="24"/>
        </w:rPr>
      </w:pPr>
      <w:r w:rsidRPr="009E0E4E">
        <w:rPr>
          <w:rFonts w:ascii="Times New Roman" w:hAnsi="Times New Roman" w:cs="Times New Roman"/>
          <w:sz w:val="24"/>
          <w:szCs w:val="24"/>
        </w:rPr>
        <w:t>Facsimile: (512) 236-6935</w:t>
      </w:r>
    </w:p>
    <w:p w14:paraId="55685EDF" w14:textId="1D2FA91D" w:rsidR="00B41C22" w:rsidRPr="009E0E4E" w:rsidRDefault="00B41C22" w:rsidP="00B41C22">
      <w:pPr>
        <w:spacing w:after="0" w:line="240" w:lineRule="auto"/>
        <w:ind w:left="2880" w:firstLine="720"/>
        <w:jc w:val="both"/>
        <w:rPr>
          <w:rFonts w:ascii="Times New Roman" w:hAnsi="Times New Roman" w:cs="Times New Roman"/>
          <w:sz w:val="24"/>
          <w:szCs w:val="24"/>
        </w:rPr>
      </w:pPr>
      <w:r w:rsidRPr="009E0E4E">
        <w:rPr>
          <w:rFonts w:ascii="Times New Roman" w:hAnsi="Times New Roman" w:cs="Times New Roman"/>
          <w:sz w:val="24"/>
          <w:szCs w:val="24"/>
        </w:rPr>
        <w:t>e-mail: erika.m.kane@xcelenergy. com</w:t>
      </w:r>
    </w:p>
    <w:p w14:paraId="0C6E70E3" w14:textId="58C5E45B" w:rsidR="00B41C22" w:rsidRPr="009E0E4E" w:rsidRDefault="00B41C22" w:rsidP="00B41C22">
      <w:pPr>
        <w:spacing w:after="0" w:line="240" w:lineRule="auto"/>
        <w:ind w:left="3600"/>
        <w:rPr>
          <w:rFonts w:ascii="Times New Roman" w:hAnsi="Times New Roman" w:cs="Times New Roman"/>
          <w:sz w:val="24"/>
          <w:szCs w:val="24"/>
        </w:rPr>
      </w:pPr>
      <w:r w:rsidRPr="009E0E4E">
        <w:rPr>
          <w:rFonts w:ascii="Times New Roman" w:hAnsi="Times New Roman" w:cs="Times New Roman"/>
          <w:sz w:val="24"/>
          <w:szCs w:val="24"/>
        </w:rPr>
        <w:t>ATTORNEY</w:t>
      </w:r>
      <w:r w:rsidR="00766AB5" w:rsidRPr="009E0E4E">
        <w:rPr>
          <w:rFonts w:ascii="Times New Roman" w:hAnsi="Times New Roman" w:cs="Times New Roman"/>
          <w:sz w:val="24"/>
          <w:szCs w:val="24"/>
        </w:rPr>
        <w:t>S</w:t>
      </w:r>
      <w:r w:rsidRPr="009E0E4E">
        <w:rPr>
          <w:rFonts w:ascii="Times New Roman" w:hAnsi="Times New Roman" w:cs="Times New Roman"/>
          <w:sz w:val="24"/>
          <w:szCs w:val="24"/>
        </w:rPr>
        <w:t xml:space="preserve"> FOR SOUTHWESTERN </w:t>
      </w:r>
      <w:r w:rsidRPr="009E0E4E">
        <w:rPr>
          <w:rFonts w:ascii="Times New Roman" w:hAnsi="Times New Roman" w:cs="Times New Roman"/>
          <w:sz w:val="24"/>
          <w:szCs w:val="24"/>
        </w:rPr>
        <w:br/>
        <w:t>PUBLIC SERVICE COMPANY</w:t>
      </w:r>
    </w:p>
    <w:p w14:paraId="3745B728" w14:textId="4D533595" w:rsidR="00B41C22" w:rsidRPr="009E0E4E" w:rsidRDefault="00B41C22" w:rsidP="00B41C22">
      <w:pPr>
        <w:spacing w:after="0" w:line="240" w:lineRule="auto"/>
        <w:ind w:left="3600"/>
        <w:rPr>
          <w:rFonts w:ascii="Times New Roman" w:hAnsi="Times New Roman" w:cs="Times New Roman"/>
          <w:sz w:val="24"/>
          <w:szCs w:val="24"/>
        </w:rPr>
      </w:pPr>
    </w:p>
    <w:p w14:paraId="0C3B7D6F" w14:textId="6147B8CE" w:rsidR="00B41C22" w:rsidRPr="009E0E4E" w:rsidRDefault="00B41C22" w:rsidP="00B41C22">
      <w:pPr>
        <w:spacing w:after="0" w:line="240" w:lineRule="auto"/>
        <w:ind w:left="3600"/>
        <w:rPr>
          <w:rFonts w:ascii="Times New Roman" w:hAnsi="Times New Roman" w:cs="Times New Roman"/>
          <w:sz w:val="24"/>
          <w:szCs w:val="24"/>
        </w:rPr>
      </w:pPr>
    </w:p>
    <w:p w14:paraId="17899A7E" w14:textId="14F89D95" w:rsidR="00B41C22" w:rsidRPr="009E0E4E" w:rsidRDefault="00B41C22" w:rsidP="00B41C22">
      <w:pPr>
        <w:spacing w:after="0" w:line="240" w:lineRule="auto"/>
        <w:ind w:left="3600"/>
        <w:rPr>
          <w:rFonts w:ascii="Times New Roman" w:hAnsi="Times New Roman" w:cs="Times New Roman"/>
          <w:sz w:val="24"/>
          <w:szCs w:val="24"/>
        </w:rPr>
      </w:pPr>
    </w:p>
    <w:p w14:paraId="60709D9B" w14:textId="77777777" w:rsidR="00A60FA9" w:rsidRDefault="00A60FA9">
      <w:pPr>
        <w:rPr>
          <w:rFonts w:ascii="Times New Roman" w:hAnsi="Times New Roman" w:cs="Times New Roman"/>
          <w:b/>
          <w:bCs/>
          <w:sz w:val="24"/>
          <w:szCs w:val="24"/>
          <w:u w:val="single"/>
        </w:rPr>
      </w:pPr>
      <w:r>
        <w:rPr>
          <w:rFonts w:ascii="Times New Roman" w:hAnsi="Times New Roman" w:cs="Times New Roman"/>
          <w:b/>
          <w:bCs/>
          <w:sz w:val="24"/>
          <w:szCs w:val="24"/>
          <w:u w:val="single"/>
        </w:rPr>
        <w:br w:type="page"/>
      </w:r>
    </w:p>
    <w:p w14:paraId="1CD77DF7" w14:textId="13EC0460" w:rsidR="00B41C22" w:rsidRPr="009E0E4E" w:rsidRDefault="00EC4530" w:rsidP="00B41C22">
      <w:pPr>
        <w:spacing w:after="0" w:line="240" w:lineRule="auto"/>
        <w:jc w:val="center"/>
        <w:rPr>
          <w:rFonts w:ascii="Times New Roman" w:hAnsi="Times New Roman" w:cs="Times New Roman"/>
          <w:b/>
          <w:bCs/>
          <w:sz w:val="24"/>
          <w:szCs w:val="24"/>
          <w:u w:val="single"/>
        </w:rPr>
      </w:pPr>
      <w:r w:rsidRPr="009E0E4E">
        <w:rPr>
          <w:rFonts w:ascii="Times New Roman" w:hAnsi="Times New Roman" w:cs="Times New Roman"/>
          <w:b/>
          <w:bCs/>
          <w:sz w:val="24"/>
          <w:szCs w:val="24"/>
          <w:u w:val="single"/>
        </w:rPr>
        <w:lastRenderedPageBreak/>
        <w:t>CERTIFICATE OF SERVICE</w:t>
      </w:r>
    </w:p>
    <w:p w14:paraId="60BF1546" w14:textId="77777777" w:rsidR="00B41C22" w:rsidRPr="009E0E4E" w:rsidRDefault="00B41C22" w:rsidP="00B41C22">
      <w:pPr>
        <w:spacing w:after="0" w:line="240" w:lineRule="auto"/>
        <w:rPr>
          <w:rFonts w:ascii="Times New Roman" w:hAnsi="Times New Roman" w:cs="Times New Roman"/>
          <w:sz w:val="24"/>
          <w:szCs w:val="24"/>
        </w:rPr>
      </w:pPr>
    </w:p>
    <w:p w14:paraId="2123947C" w14:textId="71A41E1C" w:rsidR="00B41C22" w:rsidRPr="009E0E4E" w:rsidRDefault="00B41C22" w:rsidP="00B41C22">
      <w:pPr>
        <w:spacing w:after="0" w:line="240" w:lineRule="auto"/>
        <w:ind w:firstLine="720"/>
        <w:jc w:val="both"/>
        <w:rPr>
          <w:rFonts w:ascii="Times New Roman" w:hAnsi="Times New Roman" w:cs="Times New Roman"/>
          <w:sz w:val="24"/>
          <w:szCs w:val="24"/>
        </w:rPr>
      </w:pPr>
      <w:r w:rsidRPr="009E0E4E">
        <w:rPr>
          <w:rFonts w:ascii="Times New Roman" w:hAnsi="Times New Roman" w:cs="Times New Roman"/>
          <w:sz w:val="24"/>
          <w:szCs w:val="24"/>
        </w:rPr>
        <w:t xml:space="preserve">I certify that on </w:t>
      </w:r>
      <w:r w:rsidR="00B37393" w:rsidRPr="009E0E4E">
        <w:rPr>
          <w:rFonts w:ascii="Times New Roman" w:hAnsi="Times New Roman" w:cs="Times New Roman"/>
          <w:sz w:val="24"/>
          <w:szCs w:val="24"/>
        </w:rPr>
        <w:t xml:space="preserve">January </w:t>
      </w:r>
      <w:r w:rsidR="00B66FCF">
        <w:rPr>
          <w:rFonts w:ascii="Times New Roman" w:hAnsi="Times New Roman" w:cs="Times New Roman"/>
          <w:sz w:val="24"/>
          <w:szCs w:val="24"/>
        </w:rPr>
        <w:t>27</w:t>
      </w:r>
      <w:r w:rsidR="00B37393" w:rsidRPr="009E0E4E">
        <w:rPr>
          <w:rFonts w:ascii="Times New Roman" w:hAnsi="Times New Roman" w:cs="Times New Roman"/>
          <w:sz w:val="24"/>
          <w:szCs w:val="24"/>
        </w:rPr>
        <w:t>, 2023</w:t>
      </w:r>
      <w:r w:rsidRPr="009E0E4E">
        <w:rPr>
          <w:rFonts w:ascii="Times New Roman" w:hAnsi="Times New Roman" w:cs="Times New Roman"/>
          <w:sz w:val="24"/>
          <w:szCs w:val="24"/>
        </w:rPr>
        <w:t>, a true and correct copy of the foregoing instrument was served on all parties of record by electronic service, hand delivery, Federal Express, regular First Class mail, certified mail, or facsimile transmission.</w:t>
      </w:r>
    </w:p>
    <w:p w14:paraId="39473C46" w14:textId="7CE02DE8" w:rsidR="00B41C22" w:rsidRPr="009E0E4E" w:rsidRDefault="00B41C22" w:rsidP="00B41C22">
      <w:pPr>
        <w:spacing w:after="0" w:line="240" w:lineRule="auto"/>
        <w:ind w:firstLine="720"/>
        <w:jc w:val="both"/>
        <w:rPr>
          <w:rFonts w:ascii="Times New Roman" w:hAnsi="Times New Roman" w:cs="Times New Roman"/>
          <w:sz w:val="24"/>
          <w:szCs w:val="24"/>
        </w:rPr>
      </w:pPr>
    </w:p>
    <w:p w14:paraId="3F4E0D60" w14:textId="3063EB86" w:rsidR="00B41C22" w:rsidRPr="009E0E4E" w:rsidRDefault="00B41C22" w:rsidP="00B41C22">
      <w:pPr>
        <w:spacing w:after="0" w:line="240" w:lineRule="auto"/>
        <w:ind w:firstLine="720"/>
        <w:jc w:val="both"/>
        <w:rPr>
          <w:rFonts w:ascii="Times New Roman" w:hAnsi="Times New Roman" w:cs="Times New Roman"/>
          <w:sz w:val="24"/>
          <w:szCs w:val="24"/>
        </w:rPr>
      </w:pPr>
    </w:p>
    <w:p w14:paraId="044F50BF" w14:textId="48A9C051" w:rsidR="00B41C22" w:rsidRPr="009E0E4E" w:rsidRDefault="00B41C22" w:rsidP="00EC4530">
      <w:pPr>
        <w:spacing w:after="0" w:line="240" w:lineRule="auto"/>
        <w:ind w:left="3600" w:firstLine="720"/>
        <w:jc w:val="both"/>
        <w:rPr>
          <w:rFonts w:ascii="Times New Roman" w:hAnsi="Times New Roman" w:cs="Times New Roman"/>
          <w:sz w:val="24"/>
          <w:szCs w:val="24"/>
        </w:rPr>
      </w:pPr>
      <w:r w:rsidRPr="009E0E4E">
        <w:rPr>
          <w:rFonts w:ascii="Times New Roman" w:hAnsi="Times New Roman" w:cs="Times New Roman"/>
          <w:sz w:val="24"/>
          <w:szCs w:val="24"/>
        </w:rPr>
        <w:t>____</w:t>
      </w:r>
      <w:r w:rsidR="00FE69E9" w:rsidRPr="009E0E4E">
        <w:rPr>
          <w:rFonts w:ascii="Times New Roman" w:hAnsi="Times New Roman" w:cs="Times New Roman"/>
          <w:i/>
          <w:iCs/>
          <w:sz w:val="24"/>
          <w:szCs w:val="24"/>
          <w:u w:val="single"/>
        </w:rPr>
        <w:t>/s/ Jeremiah W. Cunningham</w:t>
      </w:r>
      <w:r w:rsidRPr="009E0E4E">
        <w:rPr>
          <w:rFonts w:ascii="Times New Roman" w:hAnsi="Times New Roman" w:cs="Times New Roman"/>
          <w:sz w:val="24"/>
          <w:szCs w:val="24"/>
        </w:rPr>
        <w:t>______</w:t>
      </w:r>
    </w:p>
    <w:sectPr w:rsidR="00B41C22" w:rsidRPr="009E0E4E">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8103B" w14:textId="77777777" w:rsidR="00615931" w:rsidRDefault="00615931" w:rsidP="00836540">
      <w:pPr>
        <w:spacing w:after="0" w:line="240" w:lineRule="auto"/>
      </w:pPr>
      <w:r>
        <w:separator/>
      </w:r>
    </w:p>
  </w:endnote>
  <w:endnote w:type="continuationSeparator" w:id="0">
    <w:p w14:paraId="1393535D" w14:textId="77777777" w:rsidR="00615931" w:rsidRDefault="00615931" w:rsidP="00836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2873354"/>
      <w:docPartObj>
        <w:docPartGallery w:val="Page Numbers (Bottom of Page)"/>
        <w:docPartUnique/>
      </w:docPartObj>
    </w:sdtPr>
    <w:sdtEndPr>
      <w:rPr>
        <w:noProof/>
      </w:rPr>
    </w:sdtEndPr>
    <w:sdtContent>
      <w:p w14:paraId="70271939" w14:textId="36EE87AB" w:rsidR="00EC4530" w:rsidRDefault="00EC4530">
        <w:pPr>
          <w:pStyle w:val="Footer"/>
          <w:jc w:val="center"/>
        </w:pPr>
        <w:r w:rsidRPr="009F7002">
          <w:rPr>
            <w:rFonts w:ascii="Times New Roman" w:hAnsi="Times New Roman" w:cs="Times New Roman"/>
            <w:sz w:val="24"/>
            <w:szCs w:val="24"/>
          </w:rPr>
          <w:fldChar w:fldCharType="begin"/>
        </w:r>
        <w:r w:rsidRPr="009F7002">
          <w:rPr>
            <w:rFonts w:ascii="Times New Roman" w:hAnsi="Times New Roman" w:cs="Times New Roman"/>
            <w:sz w:val="24"/>
            <w:szCs w:val="24"/>
          </w:rPr>
          <w:instrText xml:space="preserve"> PAGE   \* MERGEFORMAT </w:instrText>
        </w:r>
        <w:r w:rsidRPr="009F7002">
          <w:rPr>
            <w:rFonts w:ascii="Times New Roman" w:hAnsi="Times New Roman" w:cs="Times New Roman"/>
            <w:sz w:val="24"/>
            <w:szCs w:val="24"/>
          </w:rPr>
          <w:fldChar w:fldCharType="separate"/>
        </w:r>
        <w:r w:rsidRPr="009F7002">
          <w:rPr>
            <w:rFonts w:ascii="Times New Roman" w:hAnsi="Times New Roman" w:cs="Times New Roman"/>
            <w:noProof/>
            <w:sz w:val="24"/>
            <w:szCs w:val="24"/>
          </w:rPr>
          <w:t>2</w:t>
        </w:r>
        <w:r w:rsidRPr="009F7002">
          <w:rPr>
            <w:rFonts w:ascii="Times New Roman" w:hAnsi="Times New Roman" w:cs="Times New Roman"/>
            <w:noProof/>
            <w:sz w:val="24"/>
            <w:szCs w:val="24"/>
          </w:rPr>
          <w:fldChar w:fldCharType="end"/>
        </w:r>
      </w:p>
    </w:sdtContent>
  </w:sdt>
  <w:p w14:paraId="0CD40137" w14:textId="77777777" w:rsidR="00EC4530" w:rsidRDefault="00EC45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ED21F" w14:textId="77777777" w:rsidR="00615931" w:rsidRDefault="00615931" w:rsidP="00836540">
      <w:pPr>
        <w:spacing w:after="0" w:line="240" w:lineRule="auto"/>
      </w:pPr>
      <w:r>
        <w:separator/>
      </w:r>
    </w:p>
  </w:footnote>
  <w:footnote w:type="continuationSeparator" w:id="0">
    <w:p w14:paraId="3110271E" w14:textId="77777777" w:rsidR="00615931" w:rsidRDefault="00615931" w:rsidP="00836540">
      <w:pPr>
        <w:spacing w:after="0" w:line="240" w:lineRule="auto"/>
      </w:pPr>
      <w:r>
        <w:continuationSeparator/>
      </w:r>
    </w:p>
  </w:footnote>
  <w:footnote w:id="1">
    <w:p w14:paraId="3F272546" w14:textId="77777777" w:rsidR="00A34C02" w:rsidRDefault="00A34C02" w:rsidP="00A34C02">
      <w:pPr>
        <w:pStyle w:val="FootnoteText"/>
        <w:spacing w:after="120"/>
        <w:jc w:val="both"/>
      </w:pPr>
      <w:r>
        <w:rPr>
          <w:rStyle w:val="FootnoteReference"/>
        </w:rPr>
        <w:footnoteRef/>
      </w:r>
      <w:r>
        <w:t xml:space="preserve"> </w:t>
      </w:r>
      <w:bookmarkStart w:id="0" w:name="_Hlk125711313"/>
      <w:r w:rsidRPr="00AB1BEA">
        <w:rPr>
          <w:rFonts w:ascii="Times New Roman" w:hAnsi="Times New Roman" w:cs="Times New Roman"/>
        </w:rPr>
        <w:t>SPS notes that there should also be no prohibition on utility ownership of residential EV charging facilities for reasons similar to those stated herein; however, specific reference is made here to non-residential facilities in light of the specific question posed by the Commission in Preliminary Order Issue No. 68.</w:t>
      </w:r>
      <w:bookmarkEnd w:id="0"/>
    </w:p>
  </w:footnote>
  <w:footnote w:id="2">
    <w:p w14:paraId="5BCDC14D" w14:textId="77777777" w:rsidR="00A34C02" w:rsidRPr="00EC5655" w:rsidRDefault="00A34C02" w:rsidP="00A34C02">
      <w:pPr>
        <w:pStyle w:val="FootnoteText"/>
        <w:spacing w:after="120"/>
        <w:jc w:val="both"/>
        <w:rPr>
          <w:rFonts w:ascii="Times New Roman" w:hAnsi="Times New Roman" w:cs="Times New Roman"/>
        </w:rPr>
      </w:pPr>
      <w:r w:rsidRPr="00EC5655">
        <w:rPr>
          <w:rStyle w:val="FootnoteReference"/>
          <w:rFonts w:ascii="Times New Roman" w:hAnsi="Times New Roman" w:cs="Times New Roman"/>
        </w:rPr>
        <w:footnoteRef/>
      </w:r>
      <w:r w:rsidRPr="00EC5655">
        <w:rPr>
          <w:rFonts w:ascii="Times New Roman" w:hAnsi="Times New Roman" w:cs="Times New Roman"/>
        </w:rPr>
        <w:t xml:space="preserve"> </w:t>
      </w:r>
      <w:r w:rsidRPr="00AB1BEA">
        <w:rPr>
          <w:rFonts w:ascii="Times New Roman" w:hAnsi="Times New Roman" w:cs="Times New Roman"/>
          <w:i/>
          <w:iCs/>
        </w:rPr>
        <w:t>See</w:t>
      </w:r>
      <w:r>
        <w:rPr>
          <w:rFonts w:ascii="Times New Roman" w:hAnsi="Times New Roman" w:cs="Times New Roman"/>
        </w:rPr>
        <w:t xml:space="preserve"> </w:t>
      </w:r>
      <w:r w:rsidRPr="00EC5655">
        <w:rPr>
          <w:rFonts w:ascii="Times New Roman" w:hAnsi="Times New Roman" w:cs="Times New Roman"/>
        </w:rPr>
        <w:t>Initial Brief</w:t>
      </w:r>
      <w:r>
        <w:rPr>
          <w:rFonts w:ascii="Times New Roman" w:hAnsi="Times New Roman" w:cs="Times New Roman"/>
        </w:rPr>
        <w:t xml:space="preserve"> of Americans for Affordable Clean Energy (AACE)</w:t>
      </w:r>
      <w:r w:rsidRPr="00EC5655">
        <w:rPr>
          <w:rFonts w:ascii="Times New Roman" w:hAnsi="Times New Roman" w:cs="Times New Roman"/>
        </w:rPr>
        <w:t xml:space="preserve"> at 5; Initial Brief </w:t>
      </w:r>
      <w:r>
        <w:rPr>
          <w:rFonts w:ascii="Times New Roman" w:hAnsi="Times New Roman" w:cs="Times New Roman"/>
        </w:rPr>
        <w:t xml:space="preserve">of Commission Staff </w:t>
      </w:r>
      <w:r w:rsidRPr="00EC5655">
        <w:rPr>
          <w:rFonts w:ascii="Times New Roman" w:hAnsi="Times New Roman" w:cs="Times New Roman"/>
        </w:rPr>
        <w:t>at 3.</w:t>
      </w:r>
    </w:p>
  </w:footnote>
  <w:footnote w:id="3">
    <w:p w14:paraId="7F7D7CC3" w14:textId="77777777" w:rsidR="00A34C02" w:rsidRPr="00EC5655" w:rsidRDefault="00A34C02" w:rsidP="00A34C02">
      <w:pPr>
        <w:pStyle w:val="FootnoteText"/>
        <w:spacing w:after="120"/>
        <w:jc w:val="both"/>
        <w:rPr>
          <w:rFonts w:ascii="Times New Roman" w:hAnsi="Times New Roman" w:cs="Times New Roman"/>
        </w:rPr>
      </w:pPr>
      <w:r w:rsidRPr="00EC5655">
        <w:rPr>
          <w:rStyle w:val="FootnoteReference"/>
          <w:rFonts w:ascii="Times New Roman" w:hAnsi="Times New Roman" w:cs="Times New Roman"/>
        </w:rPr>
        <w:footnoteRef/>
      </w:r>
      <w:r w:rsidRPr="00EC5655">
        <w:rPr>
          <w:rFonts w:ascii="Times New Roman" w:hAnsi="Times New Roman" w:cs="Times New Roman"/>
        </w:rPr>
        <w:t xml:space="preserve"> </w:t>
      </w:r>
      <w:r w:rsidRPr="00AB1BEA">
        <w:rPr>
          <w:rFonts w:ascii="Times New Roman" w:hAnsi="Times New Roman" w:cs="Times New Roman"/>
          <w:i/>
          <w:iCs/>
        </w:rPr>
        <w:t>See</w:t>
      </w:r>
      <w:r>
        <w:rPr>
          <w:rFonts w:ascii="Times New Roman" w:hAnsi="Times New Roman" w:cs="Times New Roman"/>
        </w:rPr>
        <w:t xml:space="preserve"> </w:t>
      </w:r>
      <w:r w:rsidRPr="00EC5655">
        <w:rPr>
          <w:rFonts w:ascii="Times New Roman" w:hAnsi="Times New Roman" w:cs="Times New Roman"/>
        </w:rPr>
        <w:t>Initial brief</w:t>
      </w:r>
      <w:r>
        <w:rPr>
          <w:rFonts w:ascii="Times New Roman" w:hAnsi="Times New Roman" w:cs="Times New Roman"/>
        </w:rPr>
        <w:t xml:space="preserve"> of SPS</w:t>
      </w:r>
      <w:r w:rsidRPr="00EC5655">
        <w:rPr>
          <w:rFonts w:ascii="Times New Roman" w:hAnsi="Times New Roman" w:cs="Times New Roman"/>
        </w:rPr>
        <w:t xml:space="preserve"> at</w:t>
      </w:r>
      <w:r>
        <w:rPr>
          <w:rFonts w:ascii="Times New Roman" w:hAnsi="Times New Roman" w:cs="Times New Roman"/>
        </w:rPr>
        <w:t xml:space="preserve"> 4-5.</w:t>
      </w:r>
    </w:p>
  </w:footnote>
  <w:footnote w:id="4">
    <w:p w14:paraId="0C284439" w14:textId="77777777" w:rsidR="00A34C02" w:rsidRPr="00EC5655" w:rsidRDefault="00A34C02" w:rsidP="00A34C02">
      <w:pPr>
        <w:pStyle w:val="FootnoteText"/>
        <w:spacing w:after="120"/>
        <w:jc w:val="both"/>
        <w:rPr>
          <w:rFonts w:ascii="Times New Roman" w:hAnsi="Times New Roman" w:cs="Times New Roman"/>
        </w:rPr>
      </w:pPr>
      <w:r w:rsidRPr="00EC5655">
        <w:rPr>
          <w:rStyle w:val="FootnoteReference"/>
          <w:rFonts w:ascii="Times New Roman" w:hAnsi="Times New Roman" w:cs="Times New Roman"/>
        </w:rPr>
        <w:footnoteRef/>
      </w:r>
      <w:r w:rsidRPr="00EC5655">
        <w:rPr>
          <w:rFonts w:ascii="Times New Roman" w:hAnsi="Times New Roman" w:cs="Times New Roman"/>
        </w:rPr>
        <w:t xml:space="preserve"> To the extent AACE argues the NEVI plan will spur growth in rural areas by private entities, see Initial Brief </w:t>
      </w:r>
      <w:r>
        <w:rPr>
          <w:rFonts w:ascii="Times New Roman" w:hAnsi="Times New Roman" w:cs="Times New Roman"/>
        </w:rPr>
        <w:t xml:space="preserve">of </w:t>
      </w:r>
      <w:r w:rsidRPr="00EC5655">
        <w:rPr>
          <w:rFonts w:ascii="Times New Roman" w:hAnsi="Times New Roman" w:cs="Times New Roman"/>
        </w:rPr>
        <w:t xml:space="preserve">AACE at 6, that is </w:t>
      </w:r>
      <w:r>
        <w:rPr>
          <w:rFonts w:ascii="Times New Roman" w:hAnsi="Times New Roman" w:cs="Times New Roman"/>
        </w:rPr>
        <w:t xml:space="preserve">based on </w:t>
      </w:r>
      <w:r w:rsidRPr="00EC5655">
        <w:rPr>
          <w:rFonts w:ascii="Times New Roman" w:hAnsi="Times New Roman" w:cs="Times New Roman"/>
        </w:rPr>
        <w:t xml:space="preserve">speculation </w:t>
      </w:r>
      <w:r>
        <w:rPr>
          <w:rFonts w:ascii="Times New Roman" w:hAnsi="Times New Roman" w:cs="Times New Roman"/>
        </w:rPr>
        <w:t>as</w:t>
      </w:r>
      <w:r w:rsidRPr="00EC5655">
        <w:rPr>
          <w:rFonts w:ascii="Times New Roman" w:hAnsi="Times New Roman" w:cs="Times New Roman"/>
        </w:rPr>
        <w:t xml:space="preserve"> the NEVI plan does not provide full funding for installation of charging facilities in rural areas. Further, maintenance funding is contemplated to be provided for only </w:t>
      </w:r>
      <w:r>
        <w:rPr>
          <w:rFonts w:ascii="Times New Roman" w:hAnsi="Times New Roman" w:cs="Times New Roman"/>
        </w:rPr>
        <w:t>five</w:t>
      </w:r>
      <w:r w:rsidRPr="00EC5655">
        <w:rPr>
          <w:rFonts w:ascii="Times New Roman" w:hAnsi="Times New Roman" w:cs="Times New Roman"/>
        </w:rPr>
        <w:t xml:space="preserve"> years, calling into question how private entities that build facilities in reliance on </w:t>
      </w:r>
      <w:r>
        <w:rPr>
          <w:rFonts w:ascii="Times New Roman" w:hAnsi="Times New Roman" w:cs="Times New Roman"/>
        </w:rPr>
        <w:t>such</w:t>
      </w:r>
      <w:r w:rsidRPr="00EC5655">
        <w:rPr>
          <w:rFonts w:ascii="Times New Roman" w:hAnsi="Times New Roman" w:cs="Times New Roman"/>
        </w:rPr>
        <w:t xml:space="preserve"> funding intend to operate the facilities after the initial five</w:t>
      </w:r>
      <w:r>
        <w:rPr>
          <w:rFonts w:ascii="Times New Roman" w:hAnsi="Times New Roman" w:cs="Times New Roman"/>
        </w:rPr>
        <w:t>-</w:t>
      </w:r>
      <w:r w:rsidRPr="00EC5655">
        <w:rPr>
          <w:rFonts w:ascii="Times New Roman" w:hAnsi="Times New Roman" w:cs="Times New Roman"/>
        </w:rPr>
        <w:t>year period.</w:t>
      </w:r>
      <w:r>
        <w:rPr>
          <w:rFonts w:ascii="Times New Roman" w:hAnsi="Times New Roman" w:cs="Times New Roman"/>
        </w:rPr>
        <w:t xml:space="preserve"> </w:t>
      </w:r>
      <w:r w:rsidRPr="00AB1BEA">
        <w:rPr>
          <w:rFonts w:ascii="Times New Roman" w:hAnsi="Times New Roman" w:cs="Times New Roman"/>
          <w:i/>
          <w:iCs/>
        </w:rPr>
        <w:t>See</w:t>
      </w:r>
      <w:r>
        <w:rPr>
          <w:rFonts w:ascii="Times New Roman" w:hAnsi="Times New Roman" w:cs="Times New Roman"/>
        </w:rPr>
        <w:t xml:space="preserve"> </w:t>
      </w:r>
      <w:hyperlink r:id="rId1" w:history="1">
        <w:r w:rsidRPr="00AB1BEA">
          <w:rPr>
            <w:rStyle w:val="Hyperlink"/>
            <w:rFonts w:ascii="Times New Roman" w:hAnsi="Times New Roman" w:cs="Times New Roman"/>
          </w:rPr>
          <w:t>5-year National Electric Vehicle Infrastructure Funding by State</w:t>
        </w:r>
      </w:hyperlink>
      <w:r>
        <w:rPr>
          <w:rFonts w:ascii="Times New Roman" w:hAnsi="Times New Roman" w:cs="Times New Roman"/>
        </w:rPr>
        <w:t xml:space="preserve">. </w:t>
      </w:r>
    </w:p>
  </w:footnote>
  <w:footnote w:id="5">
    <w:p w14:paraId="7FCDEA16" w14:textId="77777777" w:rsidR="00A34C02" w:rsidRPr="00EC5655" w:rsidRDefault="00A34C02" w:rsidP="00A34C02">
      <w:pPr>
        <w:pStyle w:val="FootnoteText"/>
        <w:spacing w:after="120"/>
        <w:jc w:val="both"/>
        <w:rPr>
          <w:rFonts w:ascii="Times New Roman" w:hAnsi="Times New Roman" w:cs="Times New Roman"/>
        </w:rPr>
      </w:pPr>
      <w:r w:rsidRPr="00EC5655">
        <w:rPr>
          <w:rStyle w:val="FootnoteReference"/>
          <w:rFonts w:ascii="Times New Roman" w:hAnsi="Times New Roman" w:cs="Times New Roman"/>
        </w:rPr>
        <w:footnoteRef/>
      </w:r>
      <w:r w:rsidRPr="00EC5655">
        <w:rPr>
          <w:rFonts w:ascii="Times New Roman" w:hAnsi="Times New Roman" w:cs="Times New Roman"/>
        </w:rPr>
        <w:t xml:space="preserve"> See Initial Brief </w:t>
      </w:r>
      <w:r>
        <w:rPr>
          <w:rFonts w:ascii="Times New Roman" w:hAnsi="Times New Roman" w:cs="Times New Roman"/>
        </w:rPr>
        <w:t xml:space="preserve">of </w:t>
      </w:r>
      <w:r w:rsidRPr="00EC5655">
        <w:rPr>
          <w:rFonts w:ascii="Times New Roman" w:hAnsi="Times New Roman" w:cs="Times New Roman"/>
        </w:rPr>
        <w:t xml:space="preserve">SPS at </w:t>
      </w:r>
      <w:r>
        <w:rPr>
          <w:rFonts w:ascii="Times New Roman" w:hAnsi="Times New Roman" w:cs="Times New Roman"/>
        </w:rPr>
        <w:t>4-5.</w:t>
      </w:r>
    </w:p>
  </w:footnote>
  <w:footnote w:id="6">
    <w:p w14:paraId="199A54B7" w14:textId="77777777" w:rsidR="00A34C02" w:rsidRPr="00EC5655" w:rsidRDefault="00A34C02" w:rsidP="00A34C02">
      <w:pPr>
        <w:pStyle w:val="FootnoteText"/>
        <w:spacing w:after="120"/>
        <w:jc w:val="both"/>
        <w:rPr>
          <w:rFonts w:ascii="Times New Roman" w:hAnsi="Times New Roman" w:cs="Times New Roman"/>
        </w:rPr>
      </w:pPr>
      <w:r w:rsidRPr="00EC5655">
        <w:rPr>
          <w:rStyle w:val="FootnoteReference"/>
          <w:rFonts w:ascii="Times New Roman" w:hAnsi="Times New Roman" w:cs="Times New Roman"/>
        </w:rPr>
        <w:footnoteRef/>
      </w:r>
      <w:r w:rsidRPr="00EC5655">
        <w:rPr>
          <w:rFonts w:ascii="Times New Roman" w:hAnsi="Times New Roman" w:cs="Times New Roman"/>
        </w:rPr>
        <w:t xml:space="preserve"> </w:t>
      </w:r>
      <w:r w:rsidRPr="00EC5655">
        <w:rPr>
          <w:rFonts w:ascii="Times New Roman" w:hAnsi="Times New Roman" w:cs="Times New Roman"/>
          <w:i/>
          <w:iCs/>
        </w:rPr>
        <w:t>See, e.g, Amtel Communications, Inc. v. Pub. Util. Comm'n of Tex</w:t>
      </w:r>
      <w:r w:rsidRPr="00EC5655">
        <w:rPr>
          <w:rFonts w:ascii="Times New Roman" w:hAnsi="Times New Roman" w:cs="Times New Roman"/>
        </w:rPr>
        <w:t>., 687 S.W.2d 95, 101 (Tex. App.—Austin 1985, no writ) (“the Legislature intended the Commission to make, where necessary and desirable in the particular case, whatever adjustments and accommodations it considers necessary to effectuate the public interests underlying both competition and monopoly power”).</w:t>
      </w:r>
    </w:p>
  </w:footnote>
  <w:footnote w:id="7">
    <w:p w14:paraId="50B0BABC" w14:textId="77777777" w:rsidR="00A34C02" w:rsidRPr="00EC5655" w:rsidRDefault="00A34C02" w:rsidP="00A34C02">
      <w:pPr>
        <w:pStyle w:val="FootnoteText"/>
        <w:spacing w:after="120"/>
        <w:jc w:val="both"/>
        <w:rPr>
          <w:rFonts w:ascii="Times New Roman" w:hAnsi="Times New Roman" w:cs="Times New Roman"/>
        </w:rPr>
      </w:pPr>
      <w:r w:rsidRPr="00EC5655">
        <w:rPr>
          <w:rStyle w:val="FootnoteReference"/>
          <w:rFonts w:ascii="Times New Roman" w:hAnsi="Times New Roman" w:cs="Times New Roman"/>
        </w:rPr>
        <w:footnoteRef/>
      </w:r>
      <w:r w:rsidRPr="00EC5655">
        <w:rPr>
          <w:rFonts w:ascii="Times New Roman" w:hAnsi="Times New Roman" w:cs="Times New Roman"/>
        </w:rPr>
        <w:t xml:space="preserve"> </w:t>
      </w:r>
      <w:r w:rsidRPr="00E55D18">
        <w:rPr>
          <w:rFonts w:ascii="Times New Roman" w:hAnsi="Times New Roman" w:cs="Times New Roman"/>
          <w:smallCaps/>
        </w:rPr>
        <w:t>Tex. Util. Code</w:t>
      </w:r>
      <w:r w:rsidRPr="00EC5655">
        <w:rPr>
          <w:rFonts w:ascii="Times New Roman" w:hAnsi="Times New Roman" w:cs="Times New Roman"/>
        </w:rPr>
        <w:t xml:space="preserve"> § 36.051.</w:t>
      </w:r>
    </w:p>
  </w:footnote>
  <w:footnote w:id="8">
    <w:p w14:paraId="26F8985D" w14:textId="77777777" w:rsidR="00A34C02" w:rsidRPr="00EC5655" w:rsidRDefault="00A34C02" w:rsidP="00A34C02">
      <w:pPr>
        <w:pStyle w:val="FootnoteText"/>
        <w:spacing w:after="120"/>
        <w:jc w:val="both"/>
        <w:rPr>
          <w:rFonts w:ascii="Times New Roman" w:hAnsi="Times New Roman" w:cs="Times New Roman"/>
        </w:rPr>
      </w:pPr>
      <w:r w:rsidRPr="00EC5655">
        <w:rPr>
          <w:rStyle w:val="FootnoteReference"/>
          <w:rFonts w:ascii="Times New Roman" w:hAnsi="Times New Roman" w:cs="Times New Roman"/>
        </w:rPr>
        <w:footnoteRef/>
      </w:r>
      <w:r w:rsidRPr="00EC5655">
        <w:rPr>
          <w:rFonts w:ascii="Times New Roman" w:hAnsi="Times New Roman" w:cs="Times New Roman"/>
        </w:rPr>
        <w:t xml:space="preserve"> See Initial Brief</w:t>
      </w:r>
      <w:r>
        <w:rPr>
          <w:rFonts w:ascii="Times New Roman" w:hAnsi="Times New Roman" w:cs="Times New Roman"/>
        </w:rPr>
        <w:t xml:space="preserve"> of SPS</w:t>
      </w:r>
      <w:r w:rsidRPr="00EC5655">
        <w:rPr>
          <w:rFonts w:ascii="Times New Roman" w:hAnsi="Times New Roman" w:cs="Times New Roman"/>
        </w:rPr>
        <w:t xml:space="preserve"> at</w:t>
      </w:r>
      <w:r>
        <w:rPr>
          <w:rFonts w:ascii="Times New Roman" w:hAnsi="Times New Roman" w:cs="Times New Roman"/>
        </w:rPr>
        <w:t xml:space="preserve"> 14</w:t>
      </w:r>
      <w:r w:rsidRPr="00EC5655">
        <w:rPr>
          <w:rFonts w:ascii="Times New Roman" w:hAnsi="Times New Roman" w:cs="Times New Roman"/>
        </w:rPr>
        <w:t>.</w:t>
      </w:r>
    </w:p>
  </w:footnote>
  <w:footnote w:id="9">
    <w:p w14:paraId="29F9E800" w14:textId="77777777" w:rsidR="00A34C02" w:rsidRPr="00EC5655" w:rsidRDefault="00A34C02" w:rsidP="00A34C02">
      <w:pPr>
        <w:pStyle w:val="FootnoteText"/>
        <w:spacing w:after="120"/>
        <w:jc w:val="both"/>
        <w:rPr>
          <w:rFonts w:ascii="Times New Roman" w:hAnsi="Times New Roman" w:cs="Times New Roman"/>
        </w:rPr>
      </w:pPr>
      <w:r w:rsidRPr="00EC5655">
        <w:rPr>
          <w:rStyle w:val="FootnoteReference"/>
          <w:rFonts w:ascii="Times New Roman" w:hAnsi="Times New Roman" w:cs="Times New Roman"/>
        </w:rPr>
        <w:footnoteRef/>
      </w:r>
      <w:r w:rsidRPr="00EC5655">
        <w:rPr>
          <w:rFonts w:ascii="Times New Roman" w:hAnsi="Times New Roman" w:cs="Times New Roman"/>
        </w:rPr>
        <w:t xml:space="preserve"> See Initial Brief </w:t>
      </w:r>
      <w:r>
        <w:rPr>
          <w:rFonts w:ascii="Times New Roman" w:hAnsi="Times New Roman" w:cs="Times New Roman"/>
        </w:rPr>
        <w:t xml:space="preserve">of Commission Staff </w:t>
      </w:r>
      <w:r w:rsidRPr="00EC5655">
        <w:rPr>
          <w:rFonts w:ascii="Times New Roman" w:hAnsi="Times New Roman" w:cs="Times New Roman"/>
        </w:rPr>
        <w:t>at 2; Initial Brief</w:t>
      </w:r>
      <w:r>
        <w:rPr>
          <w:rFonts w:ascii="Times New Roman" w:hAnsi="Times New Roman" w:cs="Times New Roman"/>
        </w:rPr>
        <w:t xml:space="preserve"> of OPUC</w:t>
      </w:r>
      <w:r w:rsidRPr="00EC5655">
        <w:rPr>
          <w:rFonts w:ascii="Times New Roman" w:hAnsi="Times New Roman" w:cs="Times New Roman"/>
        </w:rPr>
        <w:t xml:space="preserve"> at 2.</w:t>
      </w:r>
    </w:p>
  </w:footnote>
  <w:footnote w:id="10">
    <w:p w14:paraId="73461506" w14:textId="77777777" w:rsidR="00A34C02" w:rsidRPr="00EC5655" w:rsidRDefault="00A34C02" w:rsidP="00A34C02">
      <w:pPr>
        <w:pStyle w:val="FootnoteText"/>
        <w:spacing w:after="120"/>
        <w:jc w:val="both"/>
        <w:rPr>
          <w:rFonts w:ascii="Times New Roman" w:hAnsi="Times New Roman" w:cs="Times New Roman"/>
        </w:rPr>
      </w:pPr>
      <w:r w:rsidRPr="00EC5655">
        <w:rPr>
          <w:rStyle w:val="FootnoteReference"/>
          <w:rFonts w:ascii="Times New Roman" w:hAnsi="Times New Roman" w:cs="Times New Roman"/>
        </w:rPr>
        <w:footnoteRef/>
      </w:r>
      <w:r w:rsidRPr="00EC5655">
        <w:rPr>
          <w:rFonts w:ascii="Times New Roman" w:hAnsi="Times New Roman" w:cs="Times New Roman"/>
        </w:rPr>
        <w:t xml:space="preserve"> To the extent AACE</w:t>
      </w:r>
      <w:r>
        <w:rPr>
          <w:rFonts w:ascii="Times New Roman" w:hAnsi="Times New Roman" w:cs="Times New Roman"/>
        </w:rPr>
        <w:t xml:space="preserve"> </w:t>
      </w:r>
      <w:r w:rsidRPr="00EC5655">
        <w:rPr>
          <w:rFonts w:ascii="Times New Roman" w:hAnsi="Times New Roman" w:cs="Times New Roman"/>
        </w:rPr>
        <w:t xml:space="preserve">cite PURA </w:t>
      </w:r>
      <w:r>
        <w:rPr>
          <w:rFonts w:ascii="Times New Roman" w:hAnsi="Times New Roman" w:cs="Times New Roman"/>
        </w:rPr>
        <w:t xml:space="preserve">§§ </w:t>
      </w:r>
      <w:r w:rsidRPr="00EC5655">
        <w:rPr>
          <w:rFonts w:ascii="Times New Roman" w:hAnsi="Times New Roman" w:cs="Times New Roman"/>
        </w:rPr>
        <w:t>31.001 and 39.001 for the proposition that “generation and retail services” must be subject to a competitive market, they appear to be referencing the deregulated ERCOT market; that proposition is not applicable to vertically-integrated utilities in non-ERCOT areas, such as SPS.</w:t>
      </w:r>
    </w:p>
  </w:footnote>
  <w:footnote w:id="11">
    <w:p w14:paraId="62A17CE4" w14:textId="77777777" w:rsidR="00A34C02" w:rsidRPr="00EC5655" w:rsidRDefault="00A34C02" w:rsidP="00A34C02">
      <w:pPr>
        <w:spacing w:after="120" w:line="240" w:lineRule="auto"/>
        <w:jc w:val="both"/>
        <w:rPr>
          <w:rFonts w:ascii="Times New Roman" w:hAnsi="Times New Roman" w:cs="Times New Roman"/>
          <w:sz w:val="20"/>
          <w:szCs w:val="20"/>
        </w:rPr>
      </w:pPr>
      <w:r w:rsidRPr="00EC5655">
        <w:rPr>
          <w:rStyle w:val="FootnoteReference"/>
          <w:rFonts w:ascii="Times New Roman" w:hAnsi="Times New Roman" w:cs="Times New Roman"/>
          <w:sz w:val="20"/>
          <w:szCs w:val="20"/>
        </w:rPr>
        <w:footnoteRef/>
      </w:r>
      <w:r w:rsidRPr="00EC5655">
        <w:rPr>
          <w:rFonts w:ascii="Times New Roman" w:hAnsi="Times New Roman" w:cs="Times New Roman"/>
          <w:sz w:val="20"/>
          <w:szCs w:val="20"/>
        </w:rPr>
        <w:t xml:space="preserve"> </w:t>
      </w:r>
      <w:r w:rsidRPr="00E55D18">
        <w:rPr>
          <w:rFonts w:ascii="Times New Roman" w:hAnsi="Times New Roman" w:cs="Times New Roman"/>
          <w:smallCaps/>
          <w:sz w:val="20"/>
          <w:szCs w:val="20"/>
        </w:rPr>
        <w:t>Tex. Util. Code</w:t>
      </w:r>
      <w:r w:rsidRPr="00EC5655">
        <w:rPr>
          <w:rFonts w:ascii="Times New Roman" w:hAnsi="Times New Roman" w:cs="Times New Roman"/>
          <w:sz w:val="20"/>
          <w:szCs w:val="20"/>
        </w:rPr>
        <w:t xml:space="preserve"> § 11.003.</w:t>
      </w:r>
    </w:p>
  </w:footnote>
  <w:footnote w:id="12">
    <w:p w14:paraId="68411E74" w14:textId="77777777" w:rsidR="00A34C02" w:rsidRPr="00EC5655" w:rsidRDefault="00A34C02" w:rsidP="00A34C02">
      <w:pPr>
        <w:pStyle w:val="FootnoteText"/>
        <w:spacing w:after="120"/>
        <w:jc w:val="both"/>
        <w:rPr>
          <w:rFonts w:ascii="Times New Roman" w:hAnsi="Times New Roman" w:cs="Times New Roman"/>
        </w:rPr>
      </w:pPr>
      <w:r w:rsidRPr="00EC5655">
        <w:rPr>
          <w:rStyle w:val="FootnoteReference"/>
          <w:rFonts w:ascii="Times New Roman" w:hAnsi="Times New Roman" w:cs="Times New Roman"/>
        </w:rPr>
        <w:footnoteRef/>
      </w:r>
      <w:r w:rsidRPr="00EC5655">
        <w:rPr>
          <w:rFonts w:ascii="Times New Roman" w:hAnsi="Times New Roman" w:cs="Times New Roman"/>
        </w:rPr>
        <w:t xml:space="preserve"> </w:t>
      </w:r>
      <w:r w:rsidRPr="00EC5655">
        <w:rPr>
          <w:rFonts w:ascii="Times New Roman" w:hAnsi="Times New Roman" w:cs="Times New Roman"/>
          <w:i/>
          <w:iCs/>
        </w:rPr>
        <w:t>See, e.g., NextEra Energy Capital Holdings, Inc. v. Lake</w:t>
      </w:r>
      <w:r w:rsidRPr="00EC5655">
        <w:rPr>
          <w:rFonts w:ascii="Times New Roman" w:hAnsi="Times New Roman" w:cs="Times New Roman"/>
        </w:rPr>
        <w:t>, 48 F.4th 306, 319 (5th Cir. 2022) (“In the market for transmission of electricity, vertically integrated utilities and transmission-only companies compete and offer the same services: building, operating, and owning transmission lines”).</w:t>
      </w:r>
    </w:p>
  </w:footnote>
  <w:footnote w:id="13">
    <w:p w14:paraId="253A2A00" w14:textId="77777777" w:rsidR="00A34C02" w:rsidRPr="00EC5655" w:rsidRDefault="00A34C02" w:rsidP="00A34C02">
      <w:pPr>
        <w:pStyle w:val="FootnoteText"/>
        <w:spacing w:after="120"/>
        <w:jc w:val="both"/>
        <w:rPr>
          <w:rFonts w:ascii="Times New Roman" w:hAnsi="Times New Roman" w:cs="Times New Roman"/>
        </w:rPr>
      </w:pPr>
      <w:r w:rsidRPr="00EC5655">
        <w:rPr>
          <w:rStyle w:val="FootnoteReference"/>
          <w:rFonts w:ascii="Times New Roman" w:hAnsi="Times New Roman" w:cs="Times New Roman"/>
        </w:rPr>
        <w:footnoteRef/>
      </w:r>
      <w:r w:rsidRPr="00EC5655">
        <w:rPr>
          <w:rFonts w:ascii="Times New Roman" w:hAnsi="Times New Roman" w:cs="Times New Roman"/>
        </w:rPr>
        <w:t xml:space="preserve"> </w:t>
      </w:r>
      <w:r w:rsidRPr="00EC5655">
        <w:rPr>
          <w:rFonts w:ascii="Times New Roman" w:hAnsi="Times New Roman" w:cs="Times New Roman"/>
          <w:i/>
          <w:iCs/>
        </w:rPr>
        <w:t xml:space="preserve">Amtel Communications, </w:t>
      </w:r>
      <w:r w:rsidRPr="00EC5655">
        <w:rPr>
          <w:rFonts w:ascii="Times New Roman" w:hAnsi="Times New Roman" w:cs="Times New Roman"/>
        </w:rPr>
        <w:t>687 S.W.2d</w:t>
      </w:r>
      <w:r>
        <w:rPr>
          <w:rFonts w:ascii="Times New Roman" w:hAnsi="Times New Roman" w:cs="Times New Roman"/>
        </w:rPr>
        <w:t xml:space="preserve"> at </w:t>
      </w:r>
      <w:r w:rsidRPr="00EC5655">
        <w:rPr>
          <w:rFonts w:ascii="Times New Roman" w:hAnsi="Times New Roman" w:cs="Times New Roman"/>
        </w:rPr>
        <w:t>102.</w:t>
      </w:r>
    </w:p>
  </w:footnote>
  <w:footnote w:id="14">
    <w:p w14:paraId="4369FE05" w14:textId="77777777" w:rsidR="00A34C02" w:rsidRPr="00EC5655" w:rsidRDefault="00A34C02" w:rsidP="00A34C02">
      <w:pPr>
        <w:pStyle w:val="FootnoteText"/>
        <w:spacing w:after="120"/>
        <w:jc w:val="both"/>
        <w:rPr>
          <w:rFonts w:ascii="Times New Roman" w:hAnsi="Times New Roman" w:cs="Times New Roman"/>
        </w:rPr>
      </w:pPr>
      <w:r w:rsidRPr="00EC5655">
        <w:rPr>
          <w:rStyle w:val="FootnoteReference"/>
          <w:rFonts w:ascii="Times New Roman" w:hAnsi="Times New Roman" w:cs="Times New Roman"/>
        </w:rPr>
        <w:footnoteRef/>
      </w:r>
      <w:r w:rsidRPr="00EC5655">
        <w:rPr>
          <w:rFonts w:ascii="Times New Roman" w:hAnsi="Times New Roman" w:cs="Times New Roman"/>
        </w:rPr>
        <w:t xml:space="preserve"> </w:t>
      </w:r>
      <w:r w:rsidRPr="00EC5655">
        <w:rPr>
          <w:rFonts w:ascii="Times New Roman" w:hAnsi="Times New Roman" w:cs="Times New Roman"/>
          <w:i/>
          <w:iCs/>
        </w:rPr>
        <w:t>Pub. Util. Comm'n of Tex. v. Tex. Tel. Ass'n,</w:t>
      </w:r>
      <w:r w:rsidRPr="00EC5655">
        <w:rPr>
          <w:rFonts w:ascii="Times New Roman" w:hAnsi="Times New Roman" w:cs="Times New Roman"/>
        </w:rPr>
        <w:t xml:space="preserve"> 163 S.W.3d 204, 213 (Tex. App.—Austin 2005, no pet.).</w:t>
      </w:r>
    </w:p>
  </w:footnote>
  <w:footnote w:id="15">
    <w:p w14:paraId="5442CC40" w14:textId="77777777" w:rsidR="00A34C02" w:rsidRPr="00EC5655" w:rsidRDefault="00A34C02" w:rsidP="00A34C02">
      <w:pPr>
        <w:pStyle w:val="FootnoteText"/>
        <w:spacing w:after="120"/>
        <w:jc w:val="both"/>
        <w:rPr>
          <w:rFonts w:ascii="Times New Roman" w:hAnsi="Times New Roman" w:cs="Times New Roman"/>
          <w:i/>
          <w:iCs/>
        </w:rPr>
      </w:pPr>
      <w:r w:rsidRPr="00EC5655">
        <w:rPr>
          <w:rStyle w:val="FootnoteReference"/>
          <w:rFonts w:ascii="Times New Roman" w:hAnsi="Times New Roman" w:cs="Times New Roman"/>
        </w:rPr>
        <w:footnoteRef/>
      </w:r>
      <w:r w:rsidRPr="00EC5655">
        <w:rPr>
          <w:rFonts w:ascii="Times New Roman" w:hAnsi="Times New Roman" w:cs="Times New Roman"/>
        </w:rPr>
        <w:t xml:space="preserve"> </w:t>
      </w:r>
      <w:r w:rsidRPr="00EC5655">
        <w:rPr>
          <w:rFonts w:ascii="Times New Roman" w:hAnsi="Times New Roman" w:cs="Times New Roman"/>
          <w:i/>
          <w:iCs/>
        </w:rPr>
        <w:t>Amtel Communications</w:t>
      </w:r>
      <w:r w:rsidRPr="00EC5655">
        <w:rPr>
          <w:rFonts w:ascii="Times New Roman" w:hAnsi="Times New Roman" w:cs="Times New Roman"/>
        </w:rPr>
        <w:t xml:space="preserve">, 687 S.W.2d </w:t>
      </w:r>
      <w:r>
        <w:rPr>
          <w:rFonts w:ascii="Times New Roman" w:hAnsi="Times New Roman" w:cs="Times New Roman"/>
        </w:rPr>
        <w:t>at</w:t>
      </w:r>
      <w:r w:rsidRPr="00EC5655">
        <w:rPr>
          <w:rFonts w:ascii="Times New Roman" w:hAnsi="Times New Roman" w:cs="Times New Roman"/>
        </w:rPr>
        <w:t xml:space="preserve"> 102–03.</w:t>
      </w:r>
    </w:p>
  </w:footnote>
  <w:footnote w:id="16">
    <w:p w14:paraId="21A28333" w14:textId="77777777" w:rsidR="00A34C02" w:rsidRPr="00EC5655" w:rsidRDefault="00A34C02" w:rsidP="00A34C02">
      <w:pPr>
        <w:pStyle w:val="FootnoteText"/>
        <w:spacing w:after="120"/>
        <w:jc w:val="both"/>
        <w:rPr>
          <w:rFonts w:ascii="Times New Roman" w:hAnsi="Times New Roman" w:cs="Times New Roman"/>
        </w:rPr>
      </w:pPr>
      <w:r w:rsidRPr="00EC5655">
        <w:rPr>
          <w:rStyle w:val="FootnoteReference"/>
          <w:rFonts w:ascii="Times New Roman" w:hAnsi="Times New Roman" w:cs="Times New Roman"/>
        </w:rPr>
        <w:footnoteRef/>
      </w:r>
      <w:r w:rsidRPr="00EC5655">
        <w:rPr>
          <w:rFonts w:ascii="Times New Roman" w:hAnsi="Times New Roman" w:cs="Times New Roman"/>
        </w:rPr>
        <w:t xml:space="preserve"> </w:t>
      </w:r>
      <w:r w:rsidRPr="00EC5655">
        <w:rPr>
          <w:rFonts w:ascii="Times New Roman" w:hAnsi="Times New Roman" w:cs="Times New Roman"/>
          <w:i/>
          <w:iCs/>
        </w:rPr>
        <w:t>See, e.g.,  City of Abilene v. Pub. Util. Comm'n of Tex</w:t>
      </w:r>
      <w:r w:rsidRPr="00EC5655">
        <w:rPr>
          <w:rFonts w:ascii="Times New Roman" w:hAnsi="Times New Roman" w:cs="Times New Roman"/>
        </w:rPr>
        <w:t>., No. 03-02-00569-CV, 2003 WL 549297, at *3 (Tex. App.—Austin Feb. 27, 2003, pet. denied) (In context of allegation of discriminatory rates, finding that “[s]ome differentiation in treatment may be warranted in some circumstances…In those instances, unequal treatment neither violates PURA nor invalidates an agency action”).</w:t>
      </w:r>
    </w:p>
  </w:footnote>
  <w:footnote w:id="17">
    <w:p w14:paraId="72900E18" w14:textId="77777777" w:rsidR="00A34C02" w:rsidRPr="00EC5655" w:rsidRDefault="00A34C02" w:rsidP="00A34C02">
      <w:pPr>
        <w:pStyle w:val="FootnoteText"/>
        <w:spacing w:after="120"/>
        <w:jc w:val="both"/>
        <w:rPr>
          <w:rFonts w:ascii="Times New Roman" w:hAnsi="Times New Roman" w:cs="Times New Roman"/>
        </w:rPr>
      </w:pPr>
      <w:r w:rsidRPr="00EC5655">
        <w:rPr>
          <w:rStyle w:val="FootnoteReference"/>
          <w:rFonts w:ascii="Times New Roman" w:hAnsi="Times New Roman" w:cs="Times New Roman"/>
        </w:rPr>
        <w:footnoteRef/>
      </w:r>
      <w:r w:rsidRPr="00EC5655">
        <w:rPr>
          <w:rFonts w:ascii="Times New Roman" w:hAnsi="Times New Roman" w:cs="Times New Roman"/>
        </w:rPr>
        <w:t xml:space="preserve"> Initial Brief</w:t>
      </w:r>
      <w:r>
        <w:rPr>
          <w:rFonts w:ascii="Times New Roman" w:hAnsi="Times New Roman" w:cs="Times New Roman"/>
        </w:rPr>
        <w:t xml:space="preserve"> of ChargePoint, Inc.</w:t>
      </w:r>
      <w:r w:rsidRPr="00EC5655">
        <w:rPr>
          <w:rFonts w:ascii="Times New Roman" w:hAnsi="Times New Roman" w:cs="Times New Roman"/>
        </w:rPr>
        <w:t xml:space="preserve"> at 4.</w:t>
      </w:r>
    </w:p>
  </w:footnote>
  <w:footnote w:id="18">
    <w:p w14:paraId="1B79B55E" w14:textId="77777777" w:rsidR="00A34C02" w:rsidRPr="00EC5655" w:rsidRDefault="00A34C02" w:rsidP="00A34C02">
      <w:pPr>
        <w:pStyle w:val="FootnoteText"/>
        <w:spacing w:after="120"/>
        <w:jc w:val="both"/>
        <w:rPr>
          <w:rFonts w:ascii="Times New Roman" w:hAnsi="Times New Roman" w:cs="Times New Roman"/>
        </w:rPr>
      </w:pPr>
      <w:r w:rsidRPr="00EC5655">
        <w:rPr>
          <w:rStyle w:val="FootnoteReference"/>
          <w:rFonts w:ascii="Times New Roman" w:hAnsi="Times New Roman" w:cs="Times New Roman"/>
        </w:rPr>
        <w:footnoteRef/>
      </w:r>
      <w:r w:rsidRPr="00EC5655">
        <w:rPr>
          <w:rFonts w:ascii="Times New Roman" w:hAnsi="Times New Roman" w:cs="Times New Roman"/>
        </w:rPr>
        <w:t xml:space="preserve"> Initial Brief </w:t>
      </w:r>
      <w:r>
        <w:rPr>
          <w:rFonts w:ascii="Times New Roman" w:hAnsi="Times New Roman" w:cs="Times New Roman"/>
        </w:rPr>
        <w:t xml:space="preserve">of FlashParking </w:t>
      </w:r>
      <w:r w:rsidRPr="00EC5655">
        <w:rPr>
          <w:rFonts w:ascii="Times New Roman" w:hAnsi="Times New Roman" w:cs="Times New Roman"/>
        </w:rPr>
        <w:t xml:space="preserve">at 4. </w:t>
      </w:r>
    </w:p>
  </w:footnote>
  <w:footnote w:id="19">
    <w:p w14:paraId="272F9A5C" w14:textId="77777777" w:rsidR="00A34C02" w:rsidRPr="00EC5655" w:rsidRDefault="00A34C02" w:rsidP="00A34C02">
      <w:pPr>
        <w:pStyle w:val="FootnoteText"/>
        <w:spacing w:after="120"/>
        <w:jc w:val="both"/>
        <w:rPr>
          <w:rFonts w:ascii="Times New Roman" w:hAnsi="Times New Roman" w:cs="Times New Roman"/>
        </w:rPr>
      </w:pPr>
      <w:r w:rsidRPr="00EC5655">
        <w:rPr>
          <w:rStyle w:val="FootnoteReference"/>
          <w:rFonts w:ascii="Times New Roman" w:hAnsi="Times New Roman" w:cs="Times New Roman"/>
        </w:rPr>
        <w:footnoteRef/>
      </w:r>
      <w:r w:rsidRPr="00EC5655">
        <w:rPr>
          <w:rFonts w:ascii="Times New Roman" w:hAnsi="Times New Roman" w:cs="Times New Roman"/>
        </w:rPr>
        <w:t xml:space="preserve"> Initial Brief</w:t>
      </w:r>
      <w:r>
        <w:rPr>
          <w:rFonts w:ascii="Times New Roman" w:hAnsi="Times New Roman" w:cs="Times New Roman"/>
        </w:rPr>
        <w:t xml:space="preserve"> of OPUC</w:t>
      </w:r>
      <w:r w:rsidRPr="00EC5655">
        <w:rPr>
          <w:rFonts w:ascii="Times New Roman" w:hAnsi="Times New Roman" w:cs="Times New Roman"/>
        </w:rPr>
        <w:t xml:space="preserve"> at 3-4.</w:t>
      </w:r>
    </w:p>
  </w:footnote>
  <w:footnote w:id="20">
    <w:p w14:paraId="684192A3" w14:textId="77777777" w:rsidR="00A34C02" w:rsidRPr="00AB1BEA" w:rsidRDefault="00A34C02" w:rsidP="00A34C02">
      <w:pPr>
        <w:pStyle w:val="FootnoteText"/>
        <w:spacing w:after="120"/>
        <w:jc w:val="both"/>
        <w:rPr>
          <w:rFonts w:ascii="Times New Roman" w:hAnsi="Times New Roman" w:cs="Times New Roman"/>
        </w:rPr>
      </w:pPr>
      <w:r w:rsidRPr="00AB1BEA">
        <w:rPr>
          <w:rStyle w:val="FootnoteReference"/>
          <w:rFonts w:ascii="Times New Roman" w:hAnsi="Times New Roman" w:cs="Times New Roman"/>
        </w:rPr>
        <w:footnoteRef/>
      </w:r>
      <w:r w:rsidRPr="00AB1BEA">
        <w:rPr>
          <w:rFonts w:ascii="Times New Roman" w:hAnsi="Times New Roman" w:cs="Times New Roman"/>
        </w:rPr>
        <w:t xml:space="preserve"> </w:t>
      </w:r>
      <w:r w:rsidRPr="00AB1BEA">
        <w:rPr>
          <w:rFonts w:ascii="Times New Roman" w:hAnsi="Times New Roman" w:cs="Times New Roman"/>
          <w:i/>
          <w:iCs/>
        </w:rPr>
        <w:t>Tex. Alarm &amp; Signal Ass'n v. Pub. Util. Comm'n</w:t>
      </w:r>
      <w:r w:rsidRPr="00AB1BEA">
        <w:rPr>
          <w:rFonts w:ascii="Times New Roman" w:hAnsi="Times New Roman" w:cs="Times New Roman"/>
        </w:rPr>
        <w:t>, 603 S.W.2d 766, 773 (Tex. 1980) (“the Commission has discretion to determine relevant factors in a rate design problem”).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3E621F"/>
    <w:multiLevelType w:val="hybridMultilevel"/>
    <w:tmpl w:val="5E7E841E"/>
    <w:lvl w:ilvl="0" w:tplc="09F66C70">
      <w:start w:val="1"/>
      <w:numFmt w:val="upperRoman"/>
      <w:lvlText w:val="%1."/>
      <w:lvlJc w:val="left"/>
      <w:pPr>
        <w:ind w:left="720" w:hanging="72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40"/>
    <w:rsid w:val="000653B9"/>
    <w:rsid w:val="00086227"/>
    <w:rsid w:val="0009033F"/>
    <w:rsid w:val="000B76CF"/>
    <w:rsid w:val="00111906"/>
    <w:rsid w:val="00116C37"/>
    <w:rsid w:val="00121870"/>
    <w:rsid w:val="00143C71"/>
    <w:rsid w:val="00151E1E"/>
    <w:rsid w:val="0021070F"/>
    <w:rsid w:val="00295A97"/>
    <w:rsid w:val="002F4DF4"/>
    <w:rsid w:val="003373F9"/>
    <w:rsid w:val="00373126"/>
    <w:rsid w:val="00397A15"/>
    <w:rsid w:val="003C0725"/>
    <w:rsid w:val="00413250"/>
    <w:rsid w:val="00472EFD"/>
    <w:rsid w:val="00487995"/>
    <w:rsid w:val="00490EFF"/>
    <w:rsid w:val="004A4768"/>
    <w:rsid w:val="004E51D9"/>
    <w:rsid w:val="004E6679"/>
    <w:rsid w:val="00522D01"/>
    <w:rsid w:val="00541C82"/>
    <w:rsid w:val="00581173"/>
    <w:rsid w:val="00585AC8"/>
    <w:rsid w:val="00615931"/>
    <w:rsid w:val="00635D6F"/>
    <w:rsid w:val="00654072"/>
    <w:rsid w:val="006C41D5"/>
    <w:rsid w:val="006D2DF3"/>
    <w:rsid w:val="006E703A"/>
    <w:rsid w:val="00701BF3"/>
    <w:rsid w:val="007369E0"/>
    <w:rsid w:val="00766AB5"/>
    <w:rsid w:val="007727FF"/>
    <w:rsid w:val="00786D00"/>
    <w:rsid w:val="007A65D1"/>
    <w:rsid w:val="007B2E30"/>
    <w:rsid w:val="007F6C9D"/>
    <w:rsid w:val="00836540"/>
    <w:rsid w:val="008420EB"/>
    <w:rsid w:val="008E7AA2"/>
    <w:rsid w:val="00971F29"/>
    <w:rsid w:val="00992790"/>
    <w:rsid w:val="009D139C"/>
    <w:rsid w:val="009D32F0"/>
    <w:rsid w:val="009E0E4E"/>
    <w:rsid w:val="009F7002"/>
    <w:rsid w:val="00A04FDF"/>
    <w:rsid w:val="00A0670B"/>
    <w:rsid w:val="00A34C02"/>
    <w:rsid w:val="00A55A22"/>
    <w:rsid w:val="00A60FA9"/>
    <w:rsid w:val="00A73C0E"/>
    <w:rsid w:val="00A81D9E"/>
    <w:rsid w:val="00A8204B"/>
    <w:rsid w:val="00B37393"/>
    <w:rsid w:val="00B41C22"/>
    <w:rsid w:val="00B46EA0"/>
    <w:rsid w:val="00B46F7F"/>
    <w:rsid w:val="00B66FCF"/>
    <w:rsid w:val="00C03499"/>
    <w:rsid w:val="00C149F9"/>
    <w:rsid w:val="00C44DB4"/>
    <w:rsid w:val="00CA0634"/>
    <w:rsid w:val="00CA2E26"/>
    <w:rsid w:val="00CF1C3E"/>
    <w:rsid w:val="00D37CC6"/>
    <w:rsid w:val="00D52B5D"/>
    <w:rsid w:val="00DA1F6D"/>
    <w:rsid w:val="00DB0AE7"/>
    <w:rsid w:val="00DD0821"/>
    <w:rsid w:val="00E4772B"/>
    <w:rsid w:val="00E75B46"/>
    <w:rsid w:val="00E84B7E"/>
    <w:rsid w:val="00E85CA5"/>
    <w:rsid w:val="00EA6ED5"/>
    <w:rsid w:val="00EC4530"/>
    <w:rsid w:val="00EC5655"/>
    <w:rsid w:val="00ED1122"/>
    <w:rsid w:val="00F11331"/>
    <w:rsid w:val="00F15B92"/>
    <w:rsid w:val="00F20545"/>
    <w:rsid w:val="00F33ABC"/>
    <w:rsid w:val="00F51DAD"/>
    <w:rsid w:val="00FB1231"/>
    <w:rsid w:val="00FE69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6B6AC9"/>
  <w15:chartTrackingRefBased/>
  <w15:docId w15:val="{92320AE8-ABFC-49F1-A42B-3E6C06AC6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365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836540"/>
    <w:pPr>
      <w:spacing w:after="0" w:line="240" w:lineRule="auto"/>
    </w:pPr>
    <w:rPr>
      <w:sz w:val="20"/>
      <w:szCs w:val="20"/>
    </w:rPr>
  </w:style>
  <w:style w:type="character" w:customStyle="1" w:styleId="FootnoteTextChar">
    <w:name w:val="Footnote Text Char"/>
    <w:basedOn w:val="DefaultParagraphFont"/>
    <w:link w:val="FootnoteText"/>
    <w:uiPriority w:val="99"/>
    <w:rsid w:val="00836540"/>
    <w:rPr>
      <w:sz w:val="20"/>
      <w:szCs w:val="20"/>
    </w:rPr>
  </w:style>
  <w:style w:type="character" w:styleId="FootnoteReference">
    <w:name w:val="footnote reference"/>
    <w:basedOn w:val="DefaultParagraphFont"/>
    <w:uiPriority w:val="99"/>
    <w:semiHidden/>
    <w:unhideWhenUsed/>
    <w:rsid w:val="00836540"/>
    <w:rPr>
      <w:vertAlign w:val="superscript"/>
    </w:rPr>
  </w:style>
  <w:style w:type="paragraph" w:styleId="Header">
    <w:name w:val="header"/>
    <w:basedOn w:val="Normal"/>
    <w:link w:val="HeaderChar"/>
    <w:uiPriority w:val="99"/>
    <w:unhideWhenUsed/>
    <w:rsid w:val="00EC45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4530"/>
  </w:style>
  <w:style w:type="paragraph" w:styleId="Footer">
    <w:name w:val="footer"/>
    <w:basedOn w:val="Normal"/>
    <w:link w:val="FooterChar"/>
    <w:uiPriority w:val="99"/>
    <w:unhideWhenUsed/>
    <w:rsid w:val="00EC45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4530"/>
  </w:style>
  <w:style w:type="character" w:styleId="CommentReference">
    <w:name w:val="annotation reference"/>
    <w:basedOn w:val="DefaultParagraphFont"/>
    <w:uiPriority w:val="99"/>
    <w:semiHidden/>
    <w:unhideWhenUsed/>
    <w:rsid w:val="00F15B92"/>
    <w:rPr>
      <w:sz w:val="16"/>
      <w:szCs w:val="16"/>
    </w:rPr>
  </w:style>
  <w:style w:type="paragraph" w:styleId="CommentText">
    <w:name w:val="annotation text"/>
    <w:basedOn w:val="Normal"/>
    <w:link w:val="CommentTextChar"/>
    <w:uiPriority w:val="99"/>
    <w:semiHidden/>
    <w:unhideWhenUsed/>
    <w:rsid w:val="00F15B92"/>
    <w:pPr>
      <w:spacing w:line="240" w:lineRule="auto"/>
    </w:pPr>
    <w:rPr>
      <w:sz w:val="20"/>
      <w:szCs w:val="20"/>
    </w:rPr>
  </w:style>
  <w:style w:type="character" w:customStyle="1" w:styleId="CommentTextChar">
    <w:name w:val="Comment Text Char"/>
    <w:basedOn w:val="DefaultParagraphFont"/>
    <w:link w:val="CommentText"/>
    <w:uiPriority w:val="99"/>
    <w:semiHidden/>
    <w:rsid w:val="00F15B92"/>
    <w:rPr>
      <w:sz w:val="20"/>
      <w:szCs w:val="20"/>
    </w:rPr>
  </w:style>
  <w:style w:type="paragraph" w:styleId="CommentSubject">
    <w:name w:val="annotation subject"/>
    <w:basedOn w:val="CommentText"/>
    <w:next w:val="CommentText"/>
    <w:link w:val="CommentSubjectChar"/>
    <w:uiPriority w:val="99"/>
    <w:semiHidden/>
    <w:unhideWhenUsed/>
    <w:rsid w:val="00F15B92"/>
    <w:rPr>
      <w:b/>
      <w:bCs/>
    </w:rPr>
  </w:style>
  <w:style w:type="character" w:customStyle="1" w:styleId="CommentSubjectChar">
    <w:name w:val="Comment Subject Char"/>
    <w:basedOn w:val="CommentTextChar"/>
    <w:link w:val="CommentSubject"/>
    <w:uiPriority w:val="99"/>
    <w:semiHidden/>
    <w:rsid w:val="00F15B92"/>
    <w:rPr>
      <w:b/>
      <w:bCs/>
      <w:sz w:val="20"/>
      <w:szCs w:val="20"/>
    </w:rPr>
  </w:style>
  <w:style w:type="paragraph" w:styleId="ListParagraph">
    <w:name w:val="List Paragraph"/>
    <w:basedOn w:val="Normal"/>
    <w:uiPriority w:val="34"/>
    <w:qFormat/>
    <w:rsid w:val="00B37393"/>
    <w:pPr>
      <w:ind w:left="720"/>
      <w:contextualSpacing/>
    </w:pPr>
  </w:style>
  <w:style w:type="character" w:styleId="Hyperlink">
    <w:name w:val="Hyperlink"/>
    <w:basedOn w:val="DefaultParagraphFont"/>
    <w:uiPriority w:val="99"/>
    <w:unhideWhenUsed/>
    <w:rsid w:val="00A34C0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fhwa.dot.gov/bipartisan-infrastructure-law/evs_5year_nevi_funding_by_state.cf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5B37CD6231B2D40B1CF3AEFEAA6DA84" ma:contentTypeVersion="8" ma:contentTypeDescription="Create a new document." ma:contentTypeScope="" ma:versionID="60e22637e283e689d3925320b820fec4">
  <xsd:schema xmlns:xsd="http://www.w3.org/2001/XMLSchema" xmlns:xs="http://www.w3.org/2001/XMLSchema" xmlns:p="http://schemas.microsoft.com/office/2006/metadata/properties" xmlns:ns1="http://schemas.microsoft.com/sharepoint/v3" xmlns:ns2="946045c8-85cb-45b5-9010-4bf3c680104e" xmlns:ns3="dfed4c0b-dfca-435f-bf6d-555d554d1987" targetNamespace="http://schemas.microsoft.com/office/2006/metadata/properties" ma:root="true" ma:fieldsID="14df9ecf87fb7bbd42a4f8c2f595a9cd" ns1:_="" ns2:_="" ns3:_="">
    <xsd:import namespace="http://schemas.microsoft.com/sharepoint/v3"/>
    <xsd:import namespace="946045c8-85cb-45b5-9010-4bf3c680104e"/>
    <xsd:import namespace="dfed4c0b-dfca-435f-bf6d-555d554d198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6045c8-85cb-45b5-9010-4bf3c6801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ed4c0b-dfca-435f-bf6d-555d554d198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48C4262-BD9B-4EF7-8B66-AD6DD161ABCC}">
  <ds:schemaRefs>
    <ds:schemaRef ds:uri="http://schemas.microsoft.com/sharepoint/v3/contenttype/forms"/>
  </ds:schemaRefs>
</ds:datastoreItem>
</file>

<file path=customXml/itemProps2.xml><?xml version="1.0" encoding="utf-8"?>
<ds:datastoreItem xmlns:ds="http://schemas.openxmlformats.org/officeDocument/2006/customXml" ds:itemID="{1A9EAD6C-A008-4817-A464-4D072B6853B1}">
  <ds:schemaRefs>
    <ds:schemaRef ds:uri="http://schemas.openxmlformats.org/officeDocument/2006/bibliography"/>
  </ds:schemaRefs>
</ds:datastoreItem>
</file>

<file path=customXml/itemProps3.xml><?xml version="1.0" encoding="utf-8"?>
<ds:datastoreItem xmlns:ds="http://schemas.openxmlformats.org/officeDocument/2006/customXml" ds:itemID="{5EB9DD2E-4FDC-46E0-9A5D-A18F33E159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46045c8-85cb-45b5-9010-4bf3c680104e"/>
    <ds:schemaRef ds:uri="dfed4c0b-dfca-435f-bf6d-555d554d19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68B4B2-05A6-40C2-8E0D-225A4375326A}">
  <ds:schemaRefs>
    <ds:schemaRef ds:uri="http://purl.org/dc/dcmitype/"/>
    <ds:schemaRef ds:uri="dfed4c0b-dfca-435f-bf6d-555d554d1987"/>
    <ds:schemaRef ds:uri="http://schemas.microsoft.com/office/2006/documentManagement/types"/>
    <ds:schemaRef ds:uri="http://www.w3.org/XML/1998/namespace"/>
    <ds:schemaRef ds:uri="http://schemas.microsoft.com/sharepoint/v3"/>
    <ds:schemaRef ds:uri="http://purl.org/dc/elements/1.1/"/>
    <ds:schemaRef ds:uri="http://purl.org/dc/terms/"/>
    <ds:schemaRef ds:uri="http://schemas.microsoft.com/office/infopath/2007/PartnerControls"/>
    <ds:schemaRef ds:uri="http://schemas.openxmlformats.org/package/2006/metadata/core-properties"/>
    <ds:schemaRef ds:uri="946045c8-85cb-45b5-9010-4bf3c680104e"/>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1523</TotalTime>
  <Pages>9</Pages>
  <Words>1918</Words>
  <Characters>10937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Kane, Erika M</dc:creator>
  <cp:keywords/>
  <dc:description/>
  <cp:lastModifiedBy>Kane, Erika M</cp:lastModifiedBy>
  <cp:revision>20</cp:revision>
  <dcterms:created xsi:type="dcterms:W3CDTF">2023-01-23T17:54:00Z</dcterms:created>
  <dcterms:modified xsi:type="dcterms:W3CDTF">2023-01-27T18:56:00Z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c303da5-9839-411d-b619-2304f1573bfc_Enabled">
    <vt:lpwstr>true</vt:lpwstr>
  </property>
  <property fmtid="{D5CDD505-2E9C-101B-9397-08002B2CF9AE}" pid="3" name="MSIP_Label_4c303da5-9839-411d-b619-2304f1573bfc_SetDate">
    <vt:lpwstr>2022-08-18T14:28:05Z</vt:lpwstr>
  </property>
  <property fmtid="{D5CDD505-2E9C-101B-9397-08002B2CF9AE}" pid="4" name="MSIP_Label_4c303da5-9839-411d-b619-2304f1573bfc_Method">
    <vt:lpwstr>Standard</vt:lpwstr>
  </property>
  <property fmtid="{D5CDD505-2E9C-101B-9397-08002B2CF9AE}" pid="5" name="MSIP_Label_4c303da5-9839-411d-b619-2304f1573bfc_Name">
    <vt:lpwstr>4c303da5-9839-411d-b619-2304f1573bfc</vt:lpwstr>
  </property>
  <property fmtid="{D5CDD505-2E9C-101B-9397-08002B2CF9AE}" pid="6" name="MSIP_Label_4c303da5-9839-411d-b619-2304f1573bfc_SiteId">
    <vt:lpwstr>24b2a583-5c05-4b6a-b4e9-4e12dc0025ad</vt:lpwstr>
  </property>
  <property fmtid="{D5CDD505-2E9C-101B-9397-08002B2CF9AE}" pid="7" name="MSIP_Label_4c303da5-9839-411d-b619-2304f1573bfc_ActionId">
    <vt:lpwstr>a8968f70-d1dd-4027-9a13-84966bc6dfda</vt:lpwstr>
  </property>
  <property fmtid="{D5CDD505-2E9C-101B-9397-08002B2CF9AE}" pid="8" name="MSIP_Label_4c303da5-9839-411d-b619-2304f1573bfc_ContentBits">
    <vt:lpwstr>0</vt:lpwstr>
  </property>
  <property fmtid="{D5CDD505-2E9C-101B-9397-08002B2CF9AE}" pid="9" name="ContentTypeId">
    <vt:lpwstr>0x01010065B37CD6231B2D40B1CF3AEFEAA6DA84</vt:lpwstr>
  </property>
</Properties>
</file>